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6" w:rsidRDefault="00186066">
      <w:pPr>
        <w:pStyle w:val="ConsPlusTitlePage"/>
      </w:pPr>
      <w:bookmarkStart w:id="0" w:name="_GoBack"/>
      <w:bookmarkEnd w:id="0"/>
    </w:p>
    <w:p w:rsidR="00186066" w:rsidRDefault="00186066">
      <w:pPr>
        <w:pStyle w:val="ConsPlusNormal"/>
        <w:jc w:val="both"/>
        <w:outlineLvl w:val="0"/>
      </w:pPr>
    </w:p>
    <w:p w:rsidR="00186066" w:rsidRDefault="001860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6066" w:rsidRDefault="00186066">
      <w:pPr>
        <w:pStyle w:val="ConsPlusTitle"/>
        <w:jc w:val="both"/>
      </w:pPr>
    </w:p>
    <w:p w:rsidR="00186066" w:rsidRDefault="00186066">
      <w:pPr>
        <w:pStyle w:val="ConsPlusTitle"/>
        <w:jc w:val="center"/>
      </w:pPr>
      <w:r>
        <w:t>РАСПОРЯЖЕНИЕ</w:t>
      </w:r>
    </w:p>
    <w:p w:rsidR="00186066" w:rsidRDefault="00186066">
      <w:pPr>
        <w:pStyle w:val="ConsPlusTitle"/>
        <w:jc w:val="center"/>
      </w:pPr>
      <w:r>
        <w:t>от 28 декабря 2021 г. N 3924-р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3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топливно-энергетического комплекса.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2. Минэнерго России совместно с федеральными органами исполнительной власти обеспечить реализацию стратегического </w:t>
      </w:r>
      <w:hyperlink w:anchor="P23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стратегического </w:t>
      </w:r>
      <w:hyperlink w:anchor="P23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распоряжением, при принятии в пределах своей компетенции решений в части топливно-энергетического комплекса.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right"/>
      </w:pPr>
      <w:r>
        <w:t>Председатель Правительства</w:t>
      </w:r>
    </w:p>
    <w:p w:rsidR="00186066" w:rsidRDefault="00186066">
      <w:pPr>
        <w:pStyle w:val="ConsPlusNormal"/>
        <w:jc w:val="right"/>
      </w:pPr>
      <w:r>
        <w:t>Российской Федерации</w:t>
      </w:r>
    </w:p>
    <w:p w:rsidR="00186066" w:rsidRDefault="00186066">
      <w:pPr>
        <w:pStyle w:val="ConsPlusNormal"/>
        <w:jc w:val="right"/>
      </w:pPr>
      <w:r>
        <w:t>М.МИШУСТИН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right"/>
        <w:outlineLvl w:val="0"/>
      </w:pPr>
      <w:r>
        <w:t>Утверждено</w:t>
      </w:r>
    </w:p>
    <w:p w:rsidR="00186066" w:rsidRDefault="00186066">
      <w:pPr>
        <w:pStyle w:val="ConsPlusNormal"/>
        <w:jc w:val="right"/>
      </w:pPr>
      <w:r>
        <w:t>распоряжением Правительства</w:t>
      </w:r>
    </w:p>
    <w:p w:rsidR="00186066" w:rsidRDefault="00186066">
      <w:pPr>
        <w:pStyle w:val="ConsPlusNormal"/>
        <w:jc w:val="right"/>
      </w:pPr>
      <w:r>
        <w:t>Российской Федерации</w:t>
      </w:r>
    </w:p>
    <w:p w:rsidR="00186066" w:rsidRDefault="00186066">
      <w:pPr>
        <w:pStyle w:val="ConsPlusNormal"/>
        <w:jc w:val="right"/>
      </w:pPr>
      <w:r>
        <w:t>от 28 декабря 2021 г. N 3924-р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</w:pPr>
      <w:bookmarkStart w:id="1" w:name="P23"/>
      <w:bookmarkEnd w:id="1"/>
      <w:r>
        <w:t>СТРАТЕГИЧЕСКОЕ НАПРАВЛЕНИЕ</w:t>
      </w:r>
    </w:p>
    <w:p w:rsidR="00186066" w:rsidRDefault="00186066">
      <w:pPr>
        <w:pStyle w:val="ConsPlusTitle"/>
        <w:jc w:val="center"/>
      </w:pPr>
      <w:r>
        <w:t>В ОБЛАСТИ ЦИФРОВОЙ ТРАНСФОРМАЦИИ</w:t>
      </w:r>
    </w:p>
    <w:p w:rsidR="00186066" w:rsidRDefault="00186066">
      <w:pPr>
        <w:pStyle w:val="ConsPlusTitle"/>
        <w:jc w:val="center"/>
      </w:pPr>
      <w:r>
        <w:t>ТОПЛИВНО-ЭНЕРГЕТИЧЕСКОГО КОМПЛЕКСА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  <w:outlineLvl w:val="1"/>
      </w:pPr>
      <w:r>
        <w:t>I. Общие положения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топливно-энергетического комплекса (далее - цифровая трансформация, стратегическое направление) являются: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декабря 2016 г. N 642 "О Стратегии научно-технологического развития Российской Федерации";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октября 2021 г. N 490 "О развитии искусственного интеллекта в Российской Федерации";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</w:t>
      </w:r>
      <w:r>
        <w:lastRenderedPageBreak/>
        <w:t>итогам конференции по искусственному интеллекту;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г. N 321 "Об утверждении государственной программы Российской Федерации "Развитие энергетики";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"Цифровая экономика Российской Федерации",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N 7;</w:t>
      </w:r>
    </w:p>
    <w:p w:rsidR="00186066" w:rsidRDefault="0018606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июня 2020 г. N 1523-р "Об Энергетической стратегии Российской Федерации на период до 2035 года";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поручение Правительства Российской Федерации от 4 февраля 2021 г. N ДЧ-П10-1369 по вопросу разработки стратегии цифровой трансформации отрасли в целях достижения "цифровой зрелости", предусматривающей внедрение конкурентоспособного отечественного программного обеспечения и программно-аппаратных комплексов, </w:t>
      </w:r>
      <w:proofErr w:type="gramStart"/>
      <w:r>
        <w:t>созданных</w:t>
      </w:r>
      <w:proofErr w:type="gramEnd"/>
      <w:r>
        <w:t xml:space="preserve"> в том числе на основе технологий искусственного интеллекта.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большие данные;</w:t>
      </w:r>
    </w:p>
    <w:p w:rsidR="00186066" w:rsidRDefault="00186066">
      <w:pPr>
        <w:pStyle w:val="ConsPlusNormal"/>
        <w:spacing w:before="220"/>
        <w:ind w:firstLine="540"/>
        <w:jc w:val="both"/>
      </w:pPr>
      <w:proofErr w:type="spellStart"/>
      <w:r>
        <w:t>нейротехнологии</w:t>
      </w:r>
      <w:proofErr w:type="spellEnd"/>
      <w:r>
        <w:t xml:space="preserve"> и искусственный интеллект;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компоненты робототехники и </w:t>
      </w:r>
      <w:proofErr w:type="spellStart"/>
      <w:r>
        <w:t>сенсорика</w:t>
      </w:r>
      <w:proofErr w:type="spellEnd"/>
      <w:r>
        <w:t>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технологии беспроводной связи.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Искусственный интеллект будет использоваться для анализа больших данных в промышленности, а также в рамках функционирования систем поддержки и принятия решений.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Компоненты робототехники и </w:t>
      </w:r>
      <w:proofErr w:type="spellStart"/>
      <w:r>
        <w:t>сенсорики</w:t>
      </w:r>
      <w:proofErr w:type="spellEnd"/>
      <w:r>
        <w:t xml:space="preserve"> будут применяться для повышения производительности труда, разработки и эксплуатации труднодоступных месторождений в целях обеспечения сохранности жизни и здоровья работников предприятий топливно-энергетического комплекса.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Технологии беспроводной связи будут применяться для мониторинга и диагностики объектов и работников топливно-энергетического комплекса, в том числе для обеспечения их безопасности, снижения количества внештатных ситуаций и травматизма.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Стратегическое направление утверждается на период до 2030 года. Внесение изменений в стратегическое направление возможно не более одного раза в год.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(в том числе при внедрении робототехнических решений, цифровых средств индивидуальной защиты) российского происхождения.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Реализация ключевых проектов и мероприятий стратегического направления будет способствовать достижению следующих целевых показателей, установленных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4 раза по сравнению с показателем 2019 года;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lastRenderedPageBreak/>
        <w:t>реальный рост инвестиций в основной капитал не менее 70 процентов по сравнению с показателем 2020 года;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человек.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ind w:firstLine="540"/>
        <w:jc w:val="both"/>
      </w:pPr>
      <w:proofErr w:type="gramStart"/>
      <w:r>
        <w:t>Целью цифровой трансформации является ускоренный переход энергетического сектора страны на новые управленческий и технологический уровни, обеспечивающие условия для развития топливно-энергетического комплекса и долгосрочного устойчивого социально-экономического развития Российской Федерации путем оптимизации и трансформации бизнес-процессов (моделей) с применением цифровых технологий и платформенных решений в условиях высокой динамики изменений внешних и внутренних факторов.</w:t>
      </w:r>
      <w:proofErr w:type="gramEnd"/>
    </w:p>
    <w:p w:rsidR="00186066" w:rsidRDefault="00186066">
      <w:pPr>
        <w:pStyle w:val="ConsPlusNormal"/>
        <w:spacing w:before="220"/>
        <w:ind w:firstLine="540"/>
        <w:jc w:val="both"/>
      </w:pPr>
      <w:r>
        <w:t>Задачами цифровой трансформации являются: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реализация пилотного проекта по управлению спросом потребителей розничного рынка электрической энергии;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внедрение новой системы взаимоотношений на оптовом рынке электрической энергии и мощности и розничных рынках - создание целевого рынка управления спросом;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формирование процедур и технических решений, обеспечивающих доступ и участие ресурсов управления спросом на рынках электрической энергии и мощности;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развитие сегмента </w:t>
      </w:r>
      <w:proofErr w:type="spellStart"/>
      <w:r>
        <w:t>микрогенерации</w:t>
      </w:r>
      <w:proofErr w:type="spellEnd"/>
      <w:r>
        <w:t>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создание единого информационного сервиса в субъекте Российской Федерации по услугам поставщиков энергетических ресурсов в сфере жилищно-коммунального хозяйства;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создание Единого окна для коммуникаций с клиентами и доступа ко всем энергетическим ресурсам и услугам;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снижение издержек в секторах топливно-энергетического комплекса;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обеспечение доступности (законодательно и технически) промышленных данных для организаций топливно-энергетического комплекса;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создание единых стандартов обмена и использования данных компаниями топливно-энергетического комплекса;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повышение производительности труда;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разработка отечественных продуктов и решений;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снижение аварийности и производственного травматизма на предприятиях топливно-энергетического комплекса;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снижение рисков </w:t>
      </w:r>
      <w:proofErr w:type="spellStart"/>
      <w:r>
        <w:t>кибербезопасности</w:t>
      </w:r>
      <w:proofErr w:type="spellEnd"/>
      <w:r>
        <w:t>, безопасности инфраструктуры.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ind w:firstLine="540"/>
        <w:jc w:val="both"/>
      </w:pPr>
      <w:r>
        <w:t>Проблемами текущего состояния топливно-энергетического комплекса, решаемыми при осуществлении цифровой трансформации, являются: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несовершенство нормативно-правовой и </w:t>
      </w:r>
      <w:proofErr w:type="gramStart"/>
      <w:r>
        <w:t>нормативно-технической</w:t>
      </w:r>
      <w:proofErr w:type="gramEnd"/>
      <w:r>
        <w:t xml:space="preserve"> баз: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lastRenderedPageBreak/>
        <w:t>низкая готовность нормативно-правовой базы к масштабному внедрению цифровых решений и их интеграции в бизнес-процессы организаций, включая отсутствие единых стандартов и систем сертификации;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упрощенных процедур закупки для компаний с государственным участием инновационной продукции (в том числе в части цифровых решений/технологий);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недостаток инструментов поддержки принятия быстрых обоснованных решений субъектами топливно-энергетического комплекса;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ограничение политики </w:t>
      </w:r>
      <w:proofErr w:type="spellStart"/>
      <w:r>
        <w:t>импортозамещения</w:t>
      </w:r>
      <w:proofErr w:type="spellEnd"/>
      <w:r>
        <w:t xml:space="preserve"> - отсутствие российских комплексных пакетов программного обеспечения, которые являются аналогами зарубежных продуктов, что требует внедрения целого набора дополнительных решений и ведет к росту издержек;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технологические и нормативные барьеры в области сбора и передачи данных: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недостаточность развития систем коммуникации и связи, в том числе в отдаленных регионах, в которых расположены операционные активы;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возможности сквозного обмена данными между различными отраслями, ведомствами и компаниями, что усложняет внедрение сквозных цифровых решений или единого цифрового пространства;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недостаточное кадровое обеспечение - небольшое количество сотрудников, прошедших программы подготовки (переподготовки) кадров в области цифровой трансформации (недостаточность компетенций на рынке труда, отсутствие карт компетенций в области цифровой трансформации на уровне государства);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единой системы управления, координации и мониторинга цифровой трансформации топливно-энергетического комплекса: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низкая скорость цифрового развития государственных органов;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централизованного видения перспектив развития государственного регулирования;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законодательные и финансовые ограничения привлечения инвестиций для обеспечения внедрения цифровых технологий в отрасли топливно-энергетического комплекса: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недостаточность мер государственной поддержки разработки и внедрения цифровых решений (технологий), адаптированных под отрасли топливно-энергетического комплекса (как для разработчиков, так и для заказчиков технологий);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высокая дополнительная нагрузка, связанная с подготовкой отчетности при получении государственной поддержки.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Вызовами цифровой трансформации отрасли являются: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необходимость </w:t>
      </w:r>
      <w:proofErr w:type="gramStart"/>
      <w:r>
        <w:t>развития инструментов снижения затрат потребителей</w:t>
      </w:r>
      <w:proofErr w:type="gramEnd"/>
      <w:r>
        <w:t xml:space="preserve"> на покупку электрической энергии, развития рынка </w:t>
      </w:r>
      <w:proofErr w:type="spellStart"/>
      <w:r>
        <w:t>микрогенерации</w:t>
      </w:r>
      <w:proofErr w:type="spellEnd"/>
      <w:r>
        <w:t>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повышение качества обслуживания клиентов - граждан Российской Федерации, оптимизация затрат электроэнергетической отрасли;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необходимость формирования правового регулирования рынка промышленных данных и возникающих в связи с этим проблем передачи, обмена, реализации, обработки указанных данных у субъектов деятельности в сфере промышленности и органов государственной власти;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lastRenderedPageBreak/>
        <w:t>повышение производительности труда и обеспечение сохранности здоровья работников, в том числе при разработке труднодоступных месторождений;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снижение производственного травматизма на объектах топливно-энергетического комплекса.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при реализации </w:t>
      </w:r>
      <w:hyperlink w:anchor="P202" w:history="1">
        <w:r>
          <w:rPr>
            <w:color w:val="0000FF"/>
          </w:rPr>
          <w:t>проекта</w:t>
        </w:r>
      </w:hyperlink>
      <w:r>
        <w:t xml:space="preserve"> "Активный потребитель" - </w:t>
      </w:r>
      <w:proofErr w:type="spellStart"/>
      <w:r>
        <w:t>недостижение</w:t>
      </w:r>
      <w:proofErr w:type="spellEnd"/>
      <w:r>
        <w:t xml:space="preserve"> целевых показателей по снижению стоимости электрической энергии вследствие недостаточного количества участников (ключевых электроэнергетических компаний) в рамках </w:t>
      </w:r>
      <w:hyperlink w:anchor="P202" w:history="1">
        <w:r>
          <w:rPr>
            <w:color w:val="0000FF"/>
          </w:rPr>
          <w:t>проекта</w:t>
        </w:r>
      </w:hyperlink>
      <w:r>
        <w:t xml:space="preserve"> по управлению спросом на рынке электрической энергии и мощности;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при реализации </w:t>
      </w:r>
      <w:hyperlink w:anchor="P229" w:history="1">
        <w:r>
          <w:rPr>
            <w:color w:val="0000FF"/>
          </w:rPr>
          <w:t>проекта</w:t>
        </w:r>
      </w:hyperlink>
      <w:r>
        <w:t xml:space="preserve"> "Цифровой ассистент "Моя энергетика" - неэффективная финансово-экономическая модель для региональных инвесторов при реализации инициативы в случае отсутствия бюджетного </w:t>
      </w:r>
      <w:proofErr w:type="spellStart"/>
      <w:r>
        <w:t>софинансирования</w:t>
      </w:r>
      <w:proofErr w:type="spellEnd"/>
      <w:r>
        <w:t>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при реализации </w:t>
      </w:r>
      <w:hyperlink w:anchor="P243" w:history="1">
        <w:r>
          <w:rPr>
            <w:color w:val="0000FF"/>
          </w:rPr>
          <w:t>проекта</w:t>
        </w:r>
      </w:hyperlink>
      <w:r>
        <w:t xml:space="preserve"> "Данные для роста - искусственный интеллект":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срыв сроков реализации </w:t>
      </w:r>
      <w:hyperlink w:anchor="P243" w:history="1">
        <w:r>
          <w:rPr>
            <w:color w:val="0000FF"/>
          </w:rPr>
          <w:t>проекта</w:t>
        </w:r>
      </w:hyperlink>
      <w:r>
        <w:t xml:space="preserve"> в случае увеличения сроков согласования и принятия нормативных правовых и нормативных технических актов, необходимых для обеспечения правового регулирования рынка промышленных данных;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невысокий экономический эффект </w:t>
      </w:r>
      <w:hyperlink w:anchor="P243" w:history="1">
        <w:r>
          <w:rPr>
            <w:color w:val="0000FF"/>
          </w:rPr>
          <w:t>проекта</w:t>
        </w:r>
      </w:hyperlink>
      <w:r>
        <w:t xml:space="preserve"> при отсутствии достаточных стимулов у организаций топливно-энергетического комплекса и государства для осуществления обмена промышленными данными;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при реализации </w:t>
      </w:r>
      <w:hyperlink w:anchor="P259" w:history="1">
        <w:r>
          <w:rPr>
            <w:color w:val="0000FF"/>
          </w:rPr>
          <w:t>проекта</w:t>
        </w:r>
      </w:hyperlink>
      <w:r>
        <w:t xml:space="preserve"> "Роботизация в нефтегазовом комплексе":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мер поддержки со стороны государства при производстве, проведении испытаний и внедрении отечественных робототехнических решений;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длительный процесс внесения изменений в законодательство Российской Федерации с целью устранения нормативных барьеров, препятствующих полномасштабному внедрению и использованию робототехнических решений;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при реализации </w:t>
      </w:r>
      <w:hyperlink w:anchor="P276" w:history="1">
        <w:r>
          <w:rPr>
            <w:color w:val="0000FF"/>
          </w:rPr>
          <w:t>проекта</w:t>
        </w:r>
      </w:hyperlink>
      <w:r>
        <w:t xml:space="preserve"> "Цифровая промышленная безопасность":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отсутствие достаточных стимулирующих мер государственной поддержки для привлечения дополнительных внебюджетных источников, что может значительно замедлить процесс внедрения отдельных цифровых решений;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технические проблемы, возникающие в процессе интеграции информационных систем организаций и цифровой платформы промышленной безопасности, в том числе связанные с информационной безопасностью.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Общим риском является </w:t>
      </w:r>
      <w:proofErr w:type="spellStart"/>
      <w:r>
        <w:t>недостижение</w:t>
      </w:r>
      <w:proofErr w:type="spellEnd"/>
      <w:r>
        <w:t xml:space="preserve"> целевых показателей проектов стратегического направления в случае отсутствия бюджетного финансирования на 2022 - 2030 годы.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129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191" w:history="1">
        <w:r>
          <w:rPr>
            <w:color w:val="0000FF"/>
          </w:rPr>
          <w:t>приложении N 2</w:t>
        </w:r>
      </w:hyperlink>
      <w:r>
        <w:t>.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  <w:outlineLvl w:val="1"/>
      </w:pPr>
      <w:r>
        <w:t>IV. Участники реализации стратегического направления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ind w:firstLine="540"/>
        <w:jc w:val="both"/>
      </w:pPr>
      <w:r>
        <w:t xml:space="preserve">Федеральным органом исполнительной власти, ответственным за реализацию стратегического направления, является Министерство энергетики Российской Федерации с </w:t>
      </w:r>
      <w:r>
        <w:lastRenderedPageBreak/>
        <w:t>участием следующих соисполнителей: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Федерации;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Федерации.</w:t>
      </w:r>
    </w:p>
    <w:p w:rsidR="00186066" w:rsidRDefault="00186066">
      <w:pPr>
        <w:pStyle w:val="ConsPlusNormal"/>
        <w:spacing w:before="220"/>
        <w:ind w:firstLine="540"/>
        <w:jc w:val="both"/>
      </w:pPr>
      <w:r>
        <w:t>Реализация стратегического направления будет осуществляться при участии институтов развития, субъектов деятельности топливно-энергетического комплекса и отрасли информационных технологий.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right"/>
        <w:outlineLvl w:val="1"/>
      </w:pPr>
      <w:r>
        <w:t>Приложение N 1</w:t>
      </w:r>
    </w:p>
    <w:p w:rsidR="00186066" w:rsidRDefault="00186066">
      <w:pPr>
        <w:pStyle w:val="ConsPlusNormal"/>
        <w:jc w:val="right"/>
      </w:pPr>
      <w:r>
        <w:t>к стратегическому направлению</w:t>
      </w:r>
    </w:p>
    <w:p w:rsidR="00186066" w:rsidRDefault="00186066">
      <w:pPr>
        <w:pStyle w:val="ConsPlusNormal"/>
        <w:jc w:val="right"/>
      </w:pPr>
      <w:r>
        <w:t>в области цифровой трансформации</w:t>
      </w:r>
    </w:p>
    <w:p w:rsidR="00186066" w:rsidRDefault="00186066">
      <w:pPr>
        <w:pStyle w:val="ConsPlusNormal"/>
        <w:jc w:val="right"/>
      </w:pPr>
      <w:r>
        <w:t>топливно-энергетического комплекса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</w:pPr>
      <w:bookmarkStart w:id="2" w:name="P129"/>
      <w:bookmarkEnd w:id="2"/>
      <w:r>
        <w:t>ПРОЕКТЫ ЦИФРОВОЙ ТРАНСФОРМАЦИИ</w:t>
      </w:r>
    </w:p>
    <w:p w:rsidR="00186066" w:rsidRDefault="00186066">
      <w:pPr>
        <w:pStyle w:val="ConsPlusNormal"/>
        <w:jc w:val="both"/>
      </w:pPr>
    </w:p>
    <w:p w:rsidR="00186066" w:rsidRDefault="00186066">
      <w:pPr>
        <w:sectPr w:rsidR="00186066" w:rsidSect="00C71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304"/>
        <w:gridCol w:w="3175"/>
        <w:gridCol w:w="1531"/>
        <w:gridCol w:w="3458"/>
        <w:gridCol w:w="1757"/>
      </w:tblGrid>
      <w:tr w:rsidR="00186066"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Заинтересованные лица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"Активный потребитель"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снижение затрат на электрическую энергию для потребителей, участвующих в новых секторах рынка, до 10 процентов;</w:t>
            </w:r>
          </w:p>
          <w:p w:rsidR="00186066" w:rsidRDefault="00186066">
            <w:pPr>
              <w:pStyle w:val="ConsPlusNormal"/>
            </w:pPr>
            <w:r>
              <w:t>увеличение объема рынка электрической энергии - 2500 объектов управления потреблением (до 5 ГВт) к 2030 году;</w:t>
            </w:r>
          </w:p>
          <w:p w:rsidR="00186066" w:rsidRDefault="00186066">
            <w:pPr>
              <w:pStyle w:val="ConsPlusNormal"/>
            </w:pPr>
            <w:r>
              <w:t xml:space="preserve">увеличение объема рынка </w:t>
            </w:r>
            <w:proofErr w:type="spellStart"/>
            <w:r>
              <w:t>микрогенерации</w:t>
            </w:r>
            <w:proofErr w:type="spellEnd"/>
            <w:r>
              <w:t xml:space="preserve"> - 103,7 тыс. объектов потребителей (более 1 ГВт) к 2030 году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развитие инструментов снижения затрат потребителей на покупку электрической энергии и развитие рынка </w:t>
            </w:r>
            <w:proofErr w:type="spellStart"/>
            <w:r>
              <w:t>микрогенерации</w:t>
            </w:r>
            <w:proofErr w:type="spellEnd"/>
            <w:r>
              <w:t>, внедрение новой системы взаимоотношений на оптовом рынке электрической энергии и мощности и розничных рынках - создание целевого рынка управления спросом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потребители электрической энергии;</w:t>
            </w:r>
          </w:p>
          <w:p w:rsidR="00186066" w:rsidRDefault="00186066">
            <w:pPr>
              <w:pStyle w:val="ConsPlusNormal"/>
            </w:pPr>
            <w:r>
              <w:t>энергетические компании;</w:t>
            </w:r>
          </w:p>
          <w:p w:rsidR="00186066" w:rsidRDefault="00186066">
            <w:pPr>
              <w:pStyle w:val="ConsPlusNormal"/>
            </w:pPr>
            <w:r>
              <w:t>Российская Федерация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Цифровой ассистент "Моя энергетика"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оптимизация затрат субъектов топливно-энергетического комплекса на программное обеспечение, оборудование, интеграционные механизмы и мероприятия по информационной безопасности при переходе на цифровой формат оказания услуг и предоставления сервисов на базе "Цифровой ассистент"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разработка и утверждение стандартов качества обслуживания потребителей, создание единого информационно-расчетного центра как единого окна для коммуникаций с клиентами и доступа ко всем поставщикам ресурсов и жилищно-коммунальных услуг в субъектах Российской Федерации, создание новых секторов рынков управления спросом и </w:t>
            </w:r>
            <w:proofErr w:type="spellStart"/>
            <w:r>
              <w:t>микрогенерацией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потребители электрической энергии;</w:t>
            </w:r>
          </w:p>
          <w:p w:rsidR="00186066" w:rsidRDefault="00186066">
            <w:pPr>
              <w:pStyle w:val="ConsPlusNormal"/>
            </w:pPr>
            <w:r>
              <w:t>энергетические компании;</w:t>
            </w:r>
          </w:p>
          <w:p w:rsidR="00186066" w:rsidRDefault="00186066">
            <w:pPr>
              <w:pStyle w:val="ConsPlusNormal"/>
            </w:pPr>
            <w:r>
              <w:t>Российская Федерация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"Данные </w:t>
            </w:r>
            <w:r>
              <w:lastRenderedPageBreak/>
              <w:t>для роста - искусственный интеллект"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lastRenderedPageBreak/>
              <w:t xml:space="preserve">формирование базы </w:t>
            </w:r>
            <w:r>
              <w:lastRenderedPageBreak/>
              <w:t>нормативных правовых актов для организации работы с промышленными данными;</w:t>
            </w:r>
          </w:p>
          <w:p w:rsidR="00186066" w:rsidRDefault="00186066">
            <w:pPr>
              <w:pStyle w:val="ConsPlusNormal"/>
            </w:pPr>
            <w:r>
              <w:t>сокращение финансовых и временных затрат на построение сквозных процессов взаимодействия между участниками топливно-энергетического комплекса приведет к снижению издержек во всех секторах топливно-энергетического комплекса;</w:t>
            </w:r>
          </w:p>
          <w:p w:rsidR="00186066" w:rsidRDefault="00186066">
            <w:pPr>
              <w:pStyle w:val="ConsPlusNormal"/>
            </w:pPr>
            <w:r>
              <w:t>оптимизация производственных процессов и снижение себестоимости продукции;</w:t>
            </w:r>
          </w:p>
          <w:p w:rsidR="00186066" w:rsidRDefault="00186066">
            <w:pPr>
              <w:pStyle w:val="ConsPlusNormal"/>
            </w:pPr>
            <w:r>
              <w:t xml:space="preserve">повышение эффективности компаний за счет сквозной </w:t>
            </w:r>
            <w:proofErr w:type="spellStart"/>
            <w:r>
              <w:t>цифровизации</w:t>
            </w:r>
            <w:proofErr w:type="spellEnd"/>
            <w:r>
              <w:t xml:space="preserve"> бизнеса и технологических процессов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proofErr w:type="gramStart"/>
            <w:r>
              <w:t xml:space="preserve">формирование правового </w:t>
            </w:r>
            <w:r>
              <w:lastRenderedPageBreak/>
              <w:t>регулирования рынка промышленных данных и устранение проблем передачи, обмена, распространения, обработки указанных данных у субъектов деятельности в сфере промышленности и органов государственной власти, а также обеспечение конкурентоспособности на мировом рынке российских организаций топливно-энергетического комплекса, в том числе за счет снижения производственных издержек, оптимизации бизнес-процессов на основе внедрения технологий искусственного интеллекта, для обучения которого необходимы данные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lastRenderedPageBreak/>
              <w:t xml:space="preserve">энергетические </w:t>
            </w:r>
            <w:r>
              <w:lastRenderedPageBreak/>
              <w:t>компании;</w:t>
            </w:r>
          </w:p>
          <w:p w:rsidR="00186066" w:rsidRDefault="00186066">
            <w:pPr>
              <w:pStyle w:val="ConsPlusNormal"/>
            </w:pPr>
            <w:r>
              <w:t>промышленные предприятия;</w:t>
            </w:r>
          </w:p>
          <w:p w:rsidR="00186066" w:rsidRDefault="00186066">
            <w:pPr>
              <w:pStyle w:val="ConsPlusNormal"/>
            </w:pPr>
            <w:r>
              <w:t>Российская Федерация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"Роботизация в нефтегазовом комплексе"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повышение эффективности и производительности труда в отрасли, а также снижению производственного травматизма работников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внедрение робототехнических решений в отрасли, включая пилоты полностью автономных активов для снижения производственных травм на "опасных" производственных объектах, обеспечение разработки и эксплуатации труднодоступных месторождений, повышение производительности труда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энергетические компании;</w:t>
            </w:r>
          </w:p>
          <w:p w:rsidR="00186066" w:rsidRDefault="00186066">
            <w:pPr>
              <w:pStyle w:val="ConsPlusNormal"/>
            </w:pPr>
            <w:r>
              <w:t>промышленные предприятия;</w:t>
            </w:r>
          </w:p>
          <w:p w:rsidR="00186066" w:rsidRDefault="00186066">
            <w:pPr>
              <w:pStyle w:val="ConsPlusNormal"/>
            </w:pPr>
            <w:r>
              <w:t>граждане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t>"Цифровая промышлен</w:t>
            </w:r>
            <w:r>
              <w:lastRenderedPageBreak/>
              <w:t>ная безопасность"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lastRenderedPageBreak/>
              <w:t xml:space="preserve">снижение смертности и производственного </w:t>
            </w:r>
            <w:r>
              <w:lastRenderedPageBreak/>
              <w:t>травматизма работников топливно-энергетического комплекса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стимулирование использования платформенного решения сбора и </w:t>
            </w:r>
            <w:r>
              <w:lastRenderedPageBreak/>
              <w:t>анализа данных технического состояния инфраструктуры и персонала предприятий топливно-энергетического комплекса:</w:t>
            </w:r>
          </w:p>
          <w:p w:rsidR="00186066" w:rsidRDefault="00186066">
            <w:pPr>
              <w:pStyle w:val="ConsPlusNormal"/>
            </w:pPr>
            <w:r>
              <w:t>мониторинг и диагностика объектов и персонала предприятий топливно-энергетического комплекса для обеспечения их безопасности, снижения количества внештатных ситуаций и травматизма на предприятиях топливно-энергетического комплекса;</w:t>
            </w:r>
          </w:p>
          <w:p w:rsidR="00186066" w:rsidRDefault="00186066">
            <w:pPr>
              <w:pStyle w:val="ConsPlusNormal"/>
            </w:pPr>
            <w:r>
              <w:t>система позволит к 2030 году в режиме реального времени получать информацию о состоянии здоровья работников предприятий топливно-энергетического комплекса и безопасности на энергетических объектах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lastRenderedPageBreak/>
              <w:t>энергетические компании</w:t>
            </w:r>
          </w:p>
        </w:tc>
      </w:tr>
    </w:tbl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right"/>
        <w:outlineLvl w:val="1"/>
      </w:pPr>
      <w:r>
        <w:t>Приложение N 2</w:t>
      </w:r>
    </w:p>
    <w:p w:rsidR="00186066" w:rsidRDefault="00186066">
      <w:pPr>
        <w:pStyle w:val="ConsPlusNormal"/>
        <w:jc w:val="right"/>
      </w:pPr>
      <w:r>
        <w:t>к стратегическому направлению</w:t>
      </w:r>
    </w:p>
    <w:p w:rsidR="00186066" w:rsidRDefault="00186066">
      <w:pPr>
        <w:pStyle w:val="ConsPlusNormal"/>
        <w:jc w:val="right"/>
      </w:pPr>
      <w:r>
        <w:t>в области цифровой трансформации</w:t>
      </w:r>
    </w:p>
    <w:p w:rsidR="00186066" w:rsidRDefault="00186066">
      <w:pPr>
        <w:pStyle w:val="ConsPlusNormal"/>
        <w:jc w:val="right"/>
      </w:pPr>
      <w:r>
        <w:t>топливно-энергетического комплекса</w:t>
      </w: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Title"/>
        <w:jc w:val="center"/>
      </w:pPr>
      <w:bookmarkStart w:id="3" w:name="P191"/>
      <w:bookmarkEnd w:id="3"/>
      <w:r>
        <w:t>ПОКАЗАТЕЛИ ЦИФРОВОЙ ТРАНСФОРМАЦИИ</w:t>
      </w:r>
    </w:p>
    <w:p w:rsidR="00186066" w:rsidRDefault="00186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29"/>
        <w:gridCol w:w="2677"/>
        <w:gridCol w:w="3188"/>
        <w:gridCol w:w="1361"/>
        <w:gridCol w:w="853"/>
        <w:gridCol w:w="853"/>
        <w:gridCol w:w="854"/>
      </w:tblGrid>
      <w:tr w:rsidR="00186066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проекта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 показателя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 xml:space="preserve">Значение показателя по </w:t>
            </w:r>
            <w:r>
              <w:lastRenderedPageBreak/>
              <w:t>годам</w:t>
            </w:r>
          </w:p>
        </w:tc>
      </w:tr>
      <w:tr w:rsidR="00186066">
        <w:tc>
          <w:tcPr>
            <w:tcW w:w="2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86066" w:rsidRDefault="0018606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2024</w:t>
            </w:r>
          </w:p>
        </w:tc>
      </w:tr>
      <w:tr w:rsidR="00186066">
        <w:tblPrEx>
          <w:tblBorders>
            <w:insideV w:val="none" w:sz="0" w:space="0" w:color="auto"/>
          </w:tblBorders>
        </w:tblPrEx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bookmarkStart w:id="4" w:name="P201"/>
            <w:bookmarkEnd w:id="4"/>
            <w:r>
              <w:t>1.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bookmarkStart w:id="5" w:name="P202"/>
            <w:bookmarkEnd w:id="5"/>
            <w:r>
              <w:t>"Активный потребитель"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r>
              <w:t>акционерное общество "Системный оператор Единой энергетической системы",</w:t>
            </w:r>
          </w:p>
          <w:p w:rsidR="00186066" w:rsidRDefault="00186066">
            <w:pPr>
              <w:pStyle w:val="ConsPlusNormal"/>
            </w:pPr>
            <w:r>
              <w:t>акционерное общество "Администратор торговой системы оптового рынка электроэнергии",</w:t>
            </w:r>
          </w:p>
          <w:p w:rsidR="00186066" w:rsidRDefault="00186066">
            <w:pPr>
              <w:pStyle w:val="ConsPlusNormal"/>
            </w:pPr>
            <w:r>
              <w:t>Ассоциация "Некоммерческое партнерство Совет рынка по организации эффективной системы оптовой и розничной торговли электрической энергией и мощностью",</w:t>
            </w:r>
          </w:p>
          <w:p w:rsidR="00186066" w:rsidRDefault="00186066">
            <w:pPr>
              <w:pStyle w:val="ConsPlusNormal"/>
            </w:pPr>
            <w:r>
              <w:t xml:space="preserve">Ассоциация Гарантирующих поставщиков и </w:t>
            </w:r>
            <w:proofErr w:type="spellStart"/>
            <w:r>
              <w:t>Энергосбытовых</w:t>
            </w:r>
            <w:proofErr w:type="spellEnd"/>
            <w:r>
              <w:t xml:space="preserve"> компаний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объем рынка управления энергопотреблением - среднемесячный объем управления спросом (контракты)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3000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объем рынка управления энергопотреблением - количество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1500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объем рынка </w:t>
            </w:r>
            <w:proofErr w:type="spellStart"/>
            <w:r>
              <w:t>микрогенерации</w:t>
            </w:r>
            <w:proofErr w:type="spellEnd"/>
            <w:r>
              <w:t xml:space="preserve"> - количество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4116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снижение затрат на электрическую энергию для потребителей, участвующих в новых секторах рынков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bookmarkStart w:id="6" w:name="P229"/>
            <w:bookmarkEnd w:id="6"/>
            <w:r>
              <w:t>Цифровой ассистент "Моя энергетика"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количество пилотных регионов, внедривших развернутый сервис цифрового ассистента "Моя энергетика"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продолжительность отработки запросов потребителей, связанных с энергоснабжением </w:t>
            </w:r>
            <w:r>
              <w:lastRenderedPageBreak/>
              <w:t>(в расчете на 1 запрос)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часов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193,29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193,29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96,64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bookmarkStart w:id="7" w:name="P243"/>
            <w:bookmarkEnd w:id="7"/>
            <w:r>
              <w:t>"Данные для роста - искусственный интеллект"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количество принятых нормативных правовых актов и нормативных технических документов, необходимых для создания рынка промышленных данных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сокращение затрат на добычу и переработку нефти в сопоставимых категориях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bookmarkStart w:id="8" w:name="P258"/>
            <w:bookmarkEnd w:id="8"/>
            <w:r>
              <w:t>4.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bookmarkStart w:id="9" w:name="P259"/>
            <w:bookmarkEnd w:id="9"/>
            <w:r>
              <w:t>"Роботизация в нефтегазовом комплексе"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r>
              <w:t>Минэкономразвития России,</w:t>
            </w:r>
          </w:p>
          <w:p w:rsidR="00186066" w:rsidRDefault="00186066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доля робототехнических решений для нефтегазовой отрасли, разработанных и произведенных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повышение производительности труда в нефтегазовой отрасли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8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bookmarkStart w:id="10" w:name="P276"/>
            <w:bookmarkEnd w:id="10"/>
            <w:r>
              <w:t>"Цифровая промышленная безопасность"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количество внедренных средств индивидуальной защиты и датчиков интернета вещей для опасных объектов топливно-энергетического комплекса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7417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10989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>уровень покрытия интеллектуальных систем мониторинга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50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spacing w:after="1" w:line="0" w:lineRule="atLeast"/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доля "умных" средств индивидуальной защиты, </w:t>
            </w:r>
            <w:r>
              <w:lastRenderedPageBreak/>
              <w:t>произведенных в России и внедренных на объектах топливно-энергетического комплекса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100</w:t>
            </w:r>
          </w:p>
        </w:tc>
      </w:tr>
      <w:tr w:rsidR="0018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t xml:space="preserve">Интегральный показатель, относящийся к проектам, указанным в </w:t>
            </w:r>
            <w:hyperlink w:anchor="P20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258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раздела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186066" w:rsidRDefault="00186066">
            <w:pPr>
              <w:pStyle w:val="ConsPlusNormal"/>
            </w:pPr>
            <w:r>
              <w:t>Минэнерго России,</w:t>
            </w:r>
          </w:p>
          <w:p w:rsidR="00186066" w:rsidRDefault="00186066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</w:pPr>
            <w:r>
              <w:t>доля российской электронной продукции, используемой при реализации проектов цифровой трансформации топливно-энергетического комплекса, в общем объеме электронной продукции, используемой при реализации таких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66" w:rsidRDefault="00186066">
            <w:pPr>
              <w:pStyle w:val="ConsPlusNormal"/>
              <w:jc w:val="center"/>
            </w:pPr>
            <w:r>
              <w:t>40,8</w:t>
            </w:r>
          </w:p>
        </w:tc>
      </w:tr>
    </w:tbl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jc w:val="both"/>
      </w:pPr>
    </w:p>
    <w:p w:rsidR="00186066" w:rsidRDefault="00186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6F29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6"/>
    <w:rsid w:val="00186066"/>
    <w:rsid w:val="00473226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E50C3BD8D93EDDA332EBA7674847A8F1EA12FCD886938A3D5AEFA06E1C3CF3AB8D613B6AAE57660DD4D58FFV2f5K" TargetMode="External"/><Relationship Id="rId13" Type="http://schemas.openxmlformats.org/officeDocument/2006/relationships/hyperlink" Target="consultantplus://offline/ref=DF6E50C3BD8D93EDDA332EBA7674847A8F18A327C78B6938A3D5AEFA06E1C3CF3AB8D613B6AAE57660DD4D58FFV2f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E50C3BD8D93EDDA332EBA7674847A8F18A327C78B6938A3D5AEFA06E1C3CF3AB8D613B6AAE57660DD4D58FFV2f5K" TargetMode="External"/><Relationship Id="rId12" Type="http://schemas.openxmlformats.org/officeDocument/2006/relationships/hyperlink" Target="consultantplus://offline/ref=DF6E50C3BD8D93EDDA332EBA7674847A8F18A026C18C6938A3D5AEFA06E1C3CF3AB8D613B6AAE57660DD4D58FFV2f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E50C3BD8D93EDDA332EBA7674847A8F18AC2EC78A6938A3D5AEFA06E1C3CF3AB8D613B6AAE57660DD4D58FFV2f5K" TargetMode="External"/><Relationship Id="rId11" Type="http://schemas.openxmlformats.org/officeDocument/2006/relationships/hyperlink" Target="consultantplus://offline/ref=DF6E50C3BD8D93EDDA332EBA7674847A8F1FAC26C0886938A3D5AEFA06E1C3CF3AB8D613B6AAE57660DD4D58FFV2f5K" TargetMode="External"/><Relationship Id="rId5" Type="http://schemas.openxmlformats.org/officeDocument/2006/relationships/hyperlink" Target="consultantplus://offline/ref=DF6E50C3BD8D93EDDA332EBA7674847A8F1AAD2DC1886938A3D5AEFA06E1C3CF3AB8D613B6AAE57660DD4D58FFV2f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6E50C3BD8D93EDDA332EBA7674847A8F14A528CC896938A3D5AEFA06E1C3CF3AB8D613B6AAE57660DD4D58FFV2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E50C3BD8D93EDDA332EBA7674847A8F1AA72CCC846938A3D5AEFA06E1C3CF3AB8D613B6AAE57660DD4D58FFV2f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2022-03-22T10:31:00Z</dcterms:created>
  <dcterms:modified xsi:type="dcterms:W3CDTF">2022-03-22T10:31:00Z</dcterms:modified>
</cp:coreProperties>
</file>