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C3" w:rsidRDefault="008254C3">
      <w:pPr>
        <w:pStyle w:val="ConsPlusTitlePage"/>
      </w:pPr>
      <w:bookmarkStart w:id="0" w:name="_GoBack"/>
    </w:p>
    <w:bookmarkEnd w:id="0"/>
    <w:p w:rsidR="008254C3" w:rsidRDefault="008254C3">
      <w:pPr>
        <w:pStyle w:val="ConsPlusNormal"/>
        <w:jc w:val="both"/>
        <w:outlineLvl w:val="0"/>
      </w:pPr>
    </w:p>
    <w:p w:rsidR="008254C3" w:rsidRDefault="008254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54C3" w:rsidRDefault="008254C3">
      <w:pPr>
        <w:pStyle w:val="ConsPlusTitle"/>
        <w:jc w:val="center"/>
      </w:pPr>
    </w:p>
    <w:p w:rsidR="008254C3" w:rsidRDefault="008254C3">
      <w:pPr>
        <w:pStyle w:val="ConsPlusTitle"/>
        <w:jc w:val="center"/>
      </w:pPr>
      <w:r>
        <w:t>РАСПОРЯЖЕНИЕ</w:t>
      </w:r>
    </w:p>
    <w:p w:rsidR="008254C3" w:rsidRDefault="008254C3">
      <w:pPr>
        <w:pStyle w:val="ConsPlusTitle"/>
        <w:jc w:val="center"/>
      </w:pPr>
      <w:r>
        <w:t>от 29 декабря 2021 г. N 3971-р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22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отраслей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 года.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руководствоваться положениями стратегического </w:t>
      </w:r>
      <w:hyperlink w:anchor="P22" w:history="1">
        <w:r>
          <w:rPr>
            <w:color w:val="0000FF"/>
          </w:rPr>
          <w:t>направления</w:t>
        </w:r>
      </w:hyperlink>
      <w:r>
        <w:t>, утвержденного настоящим распоряжением, при разработке и реализации целевых программ и иных документов.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right"/>
      </w:pPr>
      <w:r>
        <w:t>Председатель Правительства</w:t>
      </w:r>
    </w:p>
    <w:p w:rsidR="008254C3" w:rsidRDefault="008254C3">
      <w:pPr>
        <w:pStyle w:val="ConsPlusNormal"/>
        <w:jc w:val="right"/>
      </w:pPr>
      <w:r>
        <w:t>Российской Федерации</w:t>
      </w:r>
    </w:p>
    <w:p w:rsidR="008254C3" w:rsidRDefault="008254C3">
      <w:pPr>
        <w:pStyle w:val="ConsPlusNormal"/>
        <w:jc w:val="right"/>
      </w:pPr>
      <w:r>
        <w:t>М.МИШУСТИН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right"/>
        <w:outlineLvl w:val="0"/>
      </w:pPr>
      <w:r>
        <w:t>Утверждено</w:t>
      </w:r>
    </w:p>
    <w:p w:rsidR="008254C3" w:rsidRDefault="008254C3">
      <w:pPr>
        <w:pStyle w:val="ConsPlusNormal"/>
        <w:jc w:val="right"/>
      </w:pPr>
      <w:r>
        <w:t>распоряжением Правительства</w:t>
      </w:r>
    </w:p>
    <w:p w:rsidR="008254C3" w:rsidRDefault="008254C3">
      <w:pPr>
        <w:pStyle w:val="ConsPlusNormal"/>
        <w:jc w:val="right"/>
      </w:pPr>
      <w:r>
        <w:t>Российской Федерации</w:t>
      </w:r>
    </w:p>
    <w:p w:rsidR="008254C3" w:rsidRDefault="008254C3">
      <w:pPr>
        <w:pStyle w:val="ConsPlusNormal"/>
        <w:jc w:val="right"/>
      </w:pPr>
      <w:r>
        <w:t>от 29 декабря 2021 г. N 3971-р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Title"/>
        <w:jc w:val="center"/>
      </w:pPr>
      <w:bookmarkStart w:id="1" w:name="P22"/>
      <w:bookmarkEnd w:id="1"/>
      <w:r>
        <w:t>СТРАТЕГИЧЕСКОЕ НАПРАВЛЕНИЕ</w:t>
      </w:r>
    </w:p>
    <w:p w:rsidR="008254C3" w:rsidRDefault="008254C3">
      <w:pPr>
        <w:pStyle w:val="ConsPlusTitle"/>
        <w:jc w:val="center"/>
      </w:pPr>
      <w:r>
        <w:t xml:space="preserve">В ОБЛАСТИ ЦИФРОВОЙ ТРАНСФОРМАЦИИ ОТРАСЛЕЙ </w:t>
      </w:r>
      <w:proofErr w:type="gramStart"/>
      <w:r>
        <w:t>АГРОПРОМЫШЛЕННОГО</w:t>
      </w:r>
      <w:proofErr w:type="gramEnd"/>
    </w:p>
    <w:p w:rsidR="008254C3" w:rsidRDefault="008254C3">
      <w:pPr>
        <w:pStyle w:val="ConsPlusTitle"/>
        <w:jc w:val="center"/>
      </w:pPr>
      <w:r>
        <w:t>И РЫБОХОЗЯЙСТВЕННОГО КОМПЛЕКСОВ РОССИЙСКОЙ ФЕДЕРАЦИИ</w:t>
      </w:r>
    </w:p>
    <w:p w:rsidR="008254C3" w:rsidRDefault="008254C3">
      <w:pPr>
        <w:pStyle w:val="ConsPlusTitle"/>
        <w:jc w:val="center"/>
      </w:pPr>
      <w:r>
        <w:t>НА ПЕРИОД ДО 2030 ГОДА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Title"/>
        <w:jc w:val="center"/>
        <w:outlineLvl w:val="1"/>
      </w:pPr>
      <w:r>
        <w:t>I. Общие положения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ind w:firstLine="540"/>
        <w:jc w:val="both"/>
      </w:pPr>
      <w:r>
        <w:t xml:space="preserve">Основаниями разработки стратегического направления в области цифровой трансформации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 года (далее соответственно - Стратегическое направление, цифровая трансформация) являются: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31 декабря 2020 г. N Пр-2242 по итогам конференции по искусственному интеллекту;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5 августа 2021 г. N Пр-1383 по итогам заседания Совета при Президенте Российской Федерации по стратегическому развитию и национальным проектам 19 июля 2021 г.;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 развитии сельского хозяйства";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октября 2019 г. N 490 "О развитии искусственного интеллекта в Российской Федерации";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2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</w:t>
      </w:r>
      <w:proofErr w:type="spellStart"/>
      <w:r>
        <w:t>рыбохозяйственного</w:t>
      </w:r>
      <w:proofErr w:type="spellEnd"/>
      <w:r>
        <w:t xml:space="preserve"> комплекса", утвержденная постановлением Правительства Российской Федерации от 15 апреля 2014 г. N 314 "Об утверждении государственной программы Российской Федерации "Развитие </w:t>
      </w:r>
      <w:proofErr w:type="spellStart"/>
      <w:r>
        <w:t>рыбохозяйственного</w:t>
      </w:r>
      <w:proofErr w:type="spellEnd"/>
      <w:r>
        <w:t xml:space="preserve"> комплекса";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3" w:history="1">
        <w:r>
          <w:rPr>
            <w:color w:val="0000FF"/>
          </w:rPr>
          <w:t>программа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Федерации, утвержденная постановлением Правительства Российской Федерации от 14 мая 2021 г. N 731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Стратегия</w:t>
        </w:r>
      </w:hyperlink>
      <w:r>
        <w:t xml:space="preserve"> развития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 года, утвержденная распоряжением Правительства Российской Федерации от 12 апреля 2020 г. N 993-р;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Долгосрочная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развития зернового комплекса Российской Федерации до 2035 года, утвержденная распоряжением Правительства Российской Федерации от 10 августа 2019 г. N 1796-р;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Стратегия</w:t>
        </w:r>
      </w:hyperlink>
      <w:r>
        <w:t xml:space="preserve"> развития </w:t>
      </w:r>
      <w:proofErr w:type="spellStart"/>
      <w:r>
        <w:t>рыбохозяйственного</w:t>
      </w:r>
      <w:proofErr w:type="spellEnd"/>
      <w:r>
        <w:t xml:space="preserve"> комплекса Российской Федерации на период до 2030 года, утвержденная распоряжением Правительства Российской Федерации от 26 ноября 2019 г. N 2798-р;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перечень</w:t>
        </w:r>
      </w:hyperlink>
      <w:r>
        <w:t xml:space="preserve"> мероприятий по реализации национального плана действий по предупреждению, сдерживанию и ликвидации незаконного, несообщаемого и нерегулируемого промысла, утвержденный распоряжением Правительства Российской Федерации от 24 декабря 2015 г. N 2661-р;</w:t>
      </w:r>
    </w:p>
    <w:p w:rsidR="008254C3" w:rsidRDefault="008254C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план</w:t>
        </w:r>
      </w:hyperlink>
      <w:r>
        <w:t xml:space="preserve"> мероприятий ("дорожная карта") "Создание дополнительных условий для развития отрасли информационных технологий", утвержденный Правительством Российской Федерации 9 сентября 2021 г.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В ходе реализации Стратегического направления в агропромышленном комплексе, в том числе в сельском хозяйстве, пищевой и перерабатывающей промышленности, производстве напитков и табака, на сельских территориях, и </w:t>
      </w:r>
      <w:proofErr w:type="spellStart"/>
      <w:r>
        <w:t>рыбохозяйственном</w:t>
      </w:r>
      <w:proofErr w:type="spellEnd"/>
      <w:r>
        <w:t xml:space="preserve"> комплексе, в том числе в рыболовстве и рыбоводстве, будут внедрены следующие технологии: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моделирование и прогнозирование;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цифровые двойники;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искусственный интеллект, в том числе машинное обучение, компьютерное зрение;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интернет вещей;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беспилотные летательные аппараты;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lastRenderedPageBreak/>
        <w:t>беспилотная сельскохозяйственная техника и робототехника;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дистанционное зондирование Земли;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спутниковые системы связи и позиционирования;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обработка больших данных;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сенсоры и маяки со спутниковым каналом передачи данных;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технологии учета промысловой деятельности (для оснащения судов рыбопромыслового флота).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Указанные технологии будут применяться как в рамках государственного управления, так и для повышения эффективности производственных и сбытовых процессов предприятий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Стратегическое направление утверждается на период до 2030 года. Актуализация Стратегического направления возможна ежегодно, но не более одного раза в год.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предусмотрено внедрение радиоэлектронной продукции (в том числе систем хранения данных и серверного оборудования, автоматизированных рабочих мест, программно-аппаратных комплексов, коммуникационного оборудования, систем видеонаблюдения) российского происхождения.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Реализация Стратегического направления предусматривает достижение следующих показателей национальных целей развития Российской Федерации, определенных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года":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4 раза по сравнению с показателем 2019 года.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ind w:firstLine="540"/>
        <w:jc w:val="both"/>
      </w:pPr>
      <w:r>
        <w:t xml:space="preserve">Целями цифровой трансформации являются достижение "цифровой зрелости" в сфере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комплексов, достижение продовольственной безопасности, повышение эффективности производственных процессов в агропромышленном и </w:t>
      </w:r>
      <w:proofErr w:type="spellStart"/>
      <w:r>
        <w:t>рыбохозяйственном</w:t>
      </w:r>
      <w:proofErr w:type="spellEnd"/>
      <w:r>
        <w:t xml:space="preserve"> комплексах, расширение сбытовых возможностей предприятий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комплексов, а также повышение цифровой грамотности работников предприятий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Задачами цифровой трансформации являются: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повышение экономической и физической доступности продукции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за счет использования цифровых решений;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обеспечение отрасли высококвалифицированными кадрами, обладающими цифровыми компетенциями;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снижение издержек и себестоимости продукции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обеспечение полноты и достоверности данных о ситуации в </w:t>
      </w:r>
      <w:proofErr w:type="gramStart"/>
      <w:r>
        <w:t>агропромышленном</w:t>
      </w:r>
      <w:proofErr w:type="gramEnd"/>
      <w:r>
        <w:t xml:space="preserve"> и </w:t>
      </w:r>
      <w:proofErr w:type="spellStart"/>
      <w:r>
        <w:lastRenderedPageBreak/>
        <w:t>рыбохозяйственном</w:t>
      </w:r>
      <w:proofErr w:type="spellEnd"/>
      <w:r>
        <w:t xml:space="preserve"> комплексах;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повышение открытости информации для предприятий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сокращение бумажного документооборота и сроков предоставления государственных услуг;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сокращение незаконного оборота продукции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повышение качества планирования мероприятий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комплексов.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ind w:firstLine="540"/>
        <w:jc w:val="both"/>
      </w:pPr>
      <w:r>
        <w:t xml:space="preserve">Проблемами текущего состояния отрасли, решаемыми при </w:t>
      </w:r>
      <w:proofErr w:type="spellStart"/>
      <w:r>
        <w:t>цифровизации</w:t>
      </w:r>
      <w:proofErr w:type="spellEnd"/>
      <w:r>
        <w:t>, являются: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высокий уровень дефицита на рынке труда специалистов в сфере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комплексов, способных эффективно работать с инновационными цифровыми технологиями;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отсутствие учебных программ по подготовке специалистов в сфере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в области использования современных инновационных технологий для сбора и обработки информации о состоянии и использовании земель в агропромышленном комплексе;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неразвитость прогнозирования и планирования в </w:t>
      </w:r>
      <w:proofErr w:type="gramStart"/>
      <w:r>
        <w:t>агропромышленном</w:t>
      </w:r>
      <w:proofErr w:type="gramEnd"/>
      <w:r>
        <w:t xml:space="preserve"> и </w:t>
      </w:r>
      <w:proofErr w:type="spellStart"/>
      <w:r>
        <w:t>рыбохозяйственном</w:t>
      </w:r>
      <w:proofErr w:type="spellEnd"/>
      <w:r>
        <w:t xml:space="preserve"> комплексах в цифровой среде;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недостаточное развитие цифровой инфраструктуры;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недостаточная доступность информационно-телекоммуникационной сети "Интернет";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отсутствие единой цифровой площадки получения отраслевых данных;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неразвитость сбыта продукции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через цифровые каналы;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недостаточная точность данных в </w:t>
      </w:r>
      <w:proofErr w:type="gramStart"/>
      <w:r>
        <w:t>агропромышленном</w:t>
      </w:r>
      <w:proofErr w:type="gramEnd"/>
      <w:r>
        <w:t xml:space="preserve"> и </w:t>
      </w:r>
      <w:proofErr w:type="spellStart"/>
      <w:r>
        <w:t>рыбохозяйственном</w:t>
      </w:r>
      <w:proofErr w:type="spellEnd"/>
      <w:r>
        <w:t xml:space="preserve"> комплексах;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высокая капиталоемкость мероприятий цифровой трансформации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Вызовами (задачами) цифровой трансформации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являются: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 квалифицированными кадрами, обладающими цифровыми компетенциями;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снижение потерь в цепочке производства продукции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наращивание доли необходимой для деятельности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 информации в открытом доступе, а также повышение уровня ее достоверности;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оптимизация контрольно-надзорной деятельности;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расходования бюджетных средств;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снижение </w:t>
      </w:r>
      <w:proofErr w:type="spellStart"/>
      <w:r>
        <w:t>импортозависимости</w:t>
      </w:r>
      <w:proofErr w:type="spellEnd"/>
      <w:r>
        <w:t xml:space="preserve"> от программно-аппаратных средств и программного обеспечения и увеличение доли российской электронной продукции, используемой при реализации проектов в области цифровой трансформации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Общие вызовы формируют ряд стратегических рисков, среди которых наиболее значимы: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зависимость от импортных технологий и цифровых решений для разработки цифровых сервисов и платформ;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недостаточность объемов финансирования;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нехватка управленческого и производственного персонала, адаптированного к новым реалиям ведения бизнеса в условиях цифровой трансформации;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высокий уровень различий в развитии инфраструктуры субъектов Российской Федерации и их кадрового потенциала.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Проект в области цифровой трансформации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приведен в </w:t>
      </w:r>
      <w:hyperlink w:anchor="P124" w:history="1">
        <w:r>
          <w:rPr>
            <w:color w:val="0000FF"/>
          </w:rPr>
          <w:t>приложении N 1</w:t>
        </w:r>
      </w:hyperlink>
      <w:r>
        <w:t>.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Показатели в области цифровой трансформации </w:t>
      </w:r>
      <w:proofErr w:type="gramStart"/>
      <w:r>
        <w:t>агропромышленного</w:t>
      </w:r>
      <w:proofErr w:type="gram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приведены в </w:t>
      </w:r>
      <w:hyperlink w:anchor="P158" w:history="1">
        <w:r>
          <w:rPr>
            <w:color w:val="0000FF"/>
          </w:rPr>
          <w:t>приложении N 2</w:t>
        </w:r>
      </w:hyperlink>
      <w:r>
        <w:t>.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Title"/>
        <w:jc w:val="center"/>
        <w:outlineLvl w:val="1"/>
      </w:pPr>
      <w:r>
        <w:t>IV. Участники реализации Стратегического направления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ind w:firstLine="540"/>
        <w:jc w:val="both"/>
      </w:pPr>
      <w:r>
        <w:t>Федеральным органом исполнительной власти, ответственным за координацию реализации Стратегического направления, является Министерство сельского хозяйства Российской Федерации в составе следующих соисполнителей: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федеральные органы исполнительной власти;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 xml:space="preserve">предприятия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научные и образовательные организации, в том числе подведомственные Министерству сельского хозяйства Российской Федерации;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граждане;</w:t>
      </w:r>
    </w:p>
    <w:p w:rsidR="008254C3" w:rsidRDefault="008254C3">
      <w:pPr>
        <w:pStyle w:val="ConsPlusNormal"/>
        <w:spacing w:before="220"/>
        <w:ind w:firstLine="540"/>
        <w:jc w:val="both"/>
      </w:pPr>
      <w:r>
        <w:t>иные.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right"/>
        <w:outlineLvl w:val="1"/>
      </w:pPr>
      <w:r>
        <w:t>Приложение N 1</w:t>
      </w:r>
    </w:p>
    <w:p w:rsidR="008254C3" w:rsidRDefault="008254C3">
      <w:pPr>
        <w:pStyle w:val="ConsPlusNormal"/>
        <w:jc w:val="right"/>
      </w:pPr>
      <w:r>
        <w:t>к стратегическому направлению</w:t>
      </w:r>
    </w:p>
    <w:p w:rsidR="008254C3" w:rsidRDefault="008254C3">
      <w:pPr>
        <w:pStyle w:val="ConsPlusNormal"/>
        <w:jc w:val="right"/>
      </w:pPr>
      <w:r>
        <w:t>в области цифровой трансформации</w:t>
      </w:r>
    </w:p>
    <w:p w:rsidR="008254C3" w:rsidRDefault="008254C3">
      <w:pPr>
        <w:pStyle w:val="ConsPlusNormal"/>
        <w:jc w:val="right"/>
      </w:pPr>
      <w:r>
        <w:t xml:space="preserve">агропромышленного и </w:t>
      </w:r>
      <w:proofErr w:type="spellStart"/>
      <w:r>
        <w:t>рыбохозяйственного</w:t>
      </w:r>
      <w:proofErr w:type="spellEnd"/>
    </w:p>
    <w:p w:rsidR="008254C3" w:rsidRDefault="008254C3">
      <w:pPr>
        <w:pStyle w:val="ConsPlusNormal"/>
        <w:jc w:val="right"/>
      </w:pPr>
      <w:r>
        <w:t>комплексов Российской Федерации</w:t>
      </w:r>
    </w:p>
    <w:p w:rsidR="008254C3" w:rsidRDefault="008254C3">
      <w:pPr>
        <w:pStyle w:val="ConsPlusNormal"/>
        <w:jc w:val="right"/>
      </w:pPr>
      <w:r>
        <w:t>на период до 2030 года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Title"/>
        <w:jc w:val="center"/>
      </w:pPr>
      <w:bookmarkStart w:id="2" w:name="P124"/>
      <w:bookmarkEnd w:id="2"/>
      <w:r>
        <w:t>ПРОЕКТ</w:t>
      </w:r>
    </w:p>
    <w:p w:rsidR="008254C3" w:rsidRDefault="008254C3">
      <w:pPr>
        <w:pStyle w:val="ConsPlusTitle"/>
        <w:jc w:val="center"/>
      </w:pPr>
      <w:r>
        <w:t xml:space="preserve">В ОБЛАСТИ ЦИФРОВОЙ ТРАНСФОРМАЦИИ </w:t>
      </w:r>
      <w:proofErr w:type="gramStart"/>
      <w:r>
        <w:t>АГРОПРОМЫШЛЕННОГО</w:t>
      </w:r>
      <w:proofErr w:type="gramEnd"/>
    </w:p>
    <w:p w:rsidR="008254C3" w:rsidRDefault="008254C3">
      <w:pPr>
        <w:pStyle w:val="ConsPlusTitle"/>
        <w:jc w:val="center"/>
      </w:pPr>
      <w:r>
        <w:t>И РЫБОХОЗЯЙСТВЕННОГО КОМПЛЕКСОВ РОССИЙСКОЙ ФЕДЕРАЦИИ</w:t>
      </w:r>
    </w:p>
    <w:p w:rsidR="008254C3" w:rsidRDefault="008254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191"/>
        <w:gridCol w:w="2551"/>
        <w:gridCol w:w="2041"/>
      </w:tblGrid>
      <w:tr w:rsidR="008254C3">
        <w:tc>
          <w:tcPr>
            <w:tcW w:w="1701" w:type="dxa"/>
            <w:tcBorders>
              <w:lef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587" w:type="dxa"/>
          </w:tcPr>
          <w:p w:rsidR="008254C3" w:rsidRDefault="008254C3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191" w:type="dxa"/>
          </w:tcPr>
          <w:p w:rsidR="008254C3" w:rsidRDefault="008254C3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2551" w:type="dxa"/>
          </w:tcPr>
          <w:p w:rsidR="008254C3" w:rsidRDefault="008254C3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2041" w:type="dxa"/>
            <w:tcBorders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Бенефициары</w:t>
            </w:r>
          </w:p>
        </w:tc>
      </w:tr>
      <w:tr w:rsidR="008254C3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Проект "Цифровая трансформация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комплексов"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достижение высокой "цифровой зрелости" в сферах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внедрение цифровых технологий и платформенных решений, обеспечивающих достижение продовольственной безопасности, "цифровой зрелости", расширение сбытовых возможностей предприятий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комплексов, повышение эффективности производственных процессов в агропромышленном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комплексах и снижение издержек, повышение цифровой грамотности работников предприятий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федеральные органы исполнительной власти;</w:t>
            </w:r>
          </w:p>
          <w:p w:rsidR="008254C3" w:rsidRDefault="008254C3">
            <w:pPr>
              <w:pStyle w:val="ConsPlusNormal"/>
            </w:pPr>
            <w:r>
              <w:t>органы государственной власти субъектов Российской Федерации и органы местного самоуправления;</w:t>
            </w:r>
          </w:p>
          <w:p w:rsidR="008254C3" w:rsidRDefault="008254C3">
            <w:pPr>
              <w:pStyle w:val="ConsPlusNormal"/>
            </w:pPr>
            <w:r>
              <w:t xml:space="preserve">предприятия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комплексов;</w:t>
            </w:r>
          </w:p>
          <w:p w:rsidR="008254C3" w:rsidRDefault="008254C3">
            <w:pPr>
              <w:pStyle w:val="ConsPlusNormal"/>
            </w:pPr>
            <w:r>
              <w:t>научные и образовательные организации, в том числе подведомственные Минсельхозу России;</w:t>
            </w:r>
          </w:p>
          <w:p w:rsidR="008254C3" w:rsidRDefault="008254C3">
            <w:pPr>
              <w:pStyle w:val="ConsPlusNormal"/>
            </w:pPr>
            <w:r>
              <w:t>граждане;</w:t>
            </w:r>
          </w:p>
          <w:p w:rsidR="008254C3" w:rsidRDefault="008254C3">
            <w:pPr>
              <w:pStyle w:val="ConsPlusNormal"/>
            </w:pPr>
            <w:r>
              <w:t>иные</w:t>
            </w:r>
          </w:p>
        </w:tc>
      </w:tr>
    </w:tbl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ind w:firstLine="540"/>
        <w:jc w:val="both"/>
      </w:pPr>
      <w:r>
        <w:t>--------------------------------</w:t>
      </w:r>
    </w:p>
    <w:p w:rsidR="008254C3" w:rsidRDefault="008254C3">
      <w:pPr>
        <w:pStyle w:val="ConsPlusNormal"/>
        <w:spacing w:before="220"/>
        <w:ind w:firstLine="540"/>
        <w:jc w:val="both"/>
      </w:pPr>
      <w:bookmarkStart w:id="3" w:name="P145"/>
      <w:bookmarkEnd w:id="3"/>
      <w:proofErr w:type="gramStart"/>
      <w:r>
        <w:t xml:space="preserve">&lt;*&gt; Проект "Цифровая трансформация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комплексов" может быть осуществлен как в рамках реализации отдельных ведомственных программ цифровой трансформации, так и в рамках реализации консолидированной программы цифровой трансформации в случае принятия решения о ее разработке и утверждении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ведомственных программах цифровой трансформации, утвержденным постановлением Правительства Российской Федерации от 10 октября 2020 г. N 1646 "О мерах</w:t>
      </w:r>
      <w:proofErr w:type="gramEnd"/>
      <w:r>
        <w:t xml:space="preserve">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фондами", и ведомственными актами Минсельхоза России.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right"/>
        <w:outlineLvl w:val="1"/>
      </w:pPr>
      <w:r>
        <w:lastRenderedPageBreak/>
        <w:t>Приложение N 2</w:t>
      </w:r>
    </w:p>
    <w:p w:rsidR="008254C3" w:rsidRDefault="008254C3">
      <w:pPr>
        <w:pStyle w:val="ConsPlusNormal"/>
        <w:jc w:val="right"/>
      </w:pPr>
      <w:r>
        <w:t>к стратегическому направлению</w:t>
      </w:r>
    </w:p>
    <w:p w:rsidR="008254C3" w:rsidRDefault="008254C3">
      <w:pPr>
        <w:pStyle w:val="ConsPlusNormal"/>
        <w:jc w:val="right"/>
      </w:pPr>
      <w:r>
        <w:t>в области цифровой трансформации</w:t>
      </w:r>
    </w:p>
    <w:p w:rsidR="008254C3" w:rsidRDefault="008254C3">
      <w:pPr>
        <w:pStyle w:val="ConsPlusNormal"/>
        <w:jc w:val="right"/>
      </w:pPr>
      <w:r>
        <w:t xml:space="preserve">агропромышленного и </w:t>
      </w:r>
      <w:proofErr w:type="spellStart"/>
      <w:r>
        <w:t>рыбохозяйственного</w:t>
      </w:r>
      <w:proofErr w:type="spellEnd"/>
    </w:p>
    <w:p w:rsidR="008254C3" w:rsidRDefault="008254C3">
      <w:pPr>
        <w:pStyle w:val="ConsPlusNormal"/>
        <w:jc w:val="right"/>
      </w:pPr>
      <w:r>
        <w:t>комплексов Российской Федерации</w:t>
      </w:r>
    </w:p>
    <w:p w:rsidR="008254C3" w:rsidRDefault="008254C3">
      <w:pPr>
        <w:pStyle w:val="ConsPlusNormal"/>
        <w:jc w:val="right"/>
      </w:pPr>
      <w:r>
        <w:t>на период до 2030 года</w:t>
      </w: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Title"/>
        <w:jc w:val="center"/>
      </w:pPr>
      <w:bookmarkStart w:id="4" w:name="P158"/>
      <w:bookmarkEnd w:id="4"/>
      <w:r>
        <w:t>ПОКАЗАТЕЛИ</w:t>
      </w:r>
    </w:p>
    <w:p w:rsidR="008254C3" w:rsidRDefault="008254C3">
      <w:pPr>
        <w:pStyle w:val="ConsPlusTitle"/>
        <w:jc w:val="center"/>
      </w:pPr>
      <w:r>
        <w:t xml:space="preserve">В ОБЛАСТИ ЦИФРОВОЙ ТРАНСФОРМАЦИИ </w:t>
      </w:r>
      <w:proofErr w:type="gramStart"/>
      <w:r>
        <w:t>АГРОПРОМЫШЛЕННОГО</w:t>
      </w:r>
      <w:proofErr w:type="gramEnd"/>
    </w:p>
    <w:p w:rsidR="008254C3" w:rsidRDefault="008254C3">
      <w:pPr>
        <w:pStyle w:val="ConsPlusTitle"/>
        <w:jc w:val="center"/>
      </w:pPr>
      <w:r>
        <w:t>И РЫБОХОЗЯЙСТВЕННОГО КОМПЛЕКСОВ РОССИЙСКОЙ ФЕДЕРАЦИИ</w:t>
      </w:r>
    </w:p>
    <w:p w:rsidR="008254C3" w:rsidRDefault="008254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04"/>
        <w:gridCol w:w="2665"/>
        <w:gridCol w:w="850"/>
        <w:gridCol w:w="736"/>
        <w:gridCol w:w="736"/>
        <w:gridCol w:w="736"/>
        <w:gridCol w:w="738"/>
      </w:tblGrid>
      <w:tr w:rsidR="008254C3"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54C3" w:rsidRDefault="008254C3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pStyle w:val="ConsPlusNormal"/>
              <w:jc w:val="center"/>
            </w:pPr>
            <w:r>
              <w:t>Ответственный федеральный орган исполнительной власти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</w:tr>
      <w:tr w:rsidR="008254C3"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254C3" w:rsidRDefault="008254C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2030 год</w:t>
            </w:r>
          </w:p>
        </w:tc>
      </w:tr>
      <w:tr w:rsidR="008254C3">
        <w:tblPrEx>
          <w:tblBorders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Цифровая трансформация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Создана единая цифровая платформа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Создан Ситуационный цифровой центр Минсельхоза России и </w:t>
            </w:r>
            <w:proofErr w:type="spellStart"/>
            <w:r>
              <w:t>Росрыболовства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Планирование балансов производства и потребления сельскохозяйственной продукции и развития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 осуществляется в цифровом виде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Количество процессов в </w:t>
            </w:r>
            <w:proofErr w:type="gramStart"/>
            <w:r>
              <w:t>агропромышленном</w:t>
            </w:r>
            <w:proofErr w:type="gramEnd"/>
            <w:r>
              <w:t xml:space="preserve">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комплексах, автоматизированных посредством искусственного интеллекта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не менее шт.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Обеспечена возможность оказания государственной поддержки предприятиям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</w:t>
            </w:r>
            <w:r>
              <w:lastRenderedPageBreak/>
              <w:t>комплексов в цифровом формате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Обеспечен перевод взаимодействия Минсельхоза России и органов управления агропромышленным комплексом субъектов Российской Федерации в части государственной поддержки предприятиям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 в цифровой формат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Обеспечено предоставление государственных услуг в рамках полномочий Минсельхоза России и </w:t>
            </w:r>
            <w:proofErr w:type="spellStart"/>
            <w:r>
              <w:t>Росрыболовства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Обеспечена возможность предоставления документов в электронном виде по регистрации тракторов, самоходных машин и прицепов к ним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Количество отраслевых показателей, по которым собираются данные на единой цифровой платформе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тыс. показателей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Наличие в цифровом формате информации о сортах семян и саженцев сельскохозяйственных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Наличие в цифровом формате генетической информации о племенных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Информация о сельских населенных </w:t>
            </w:r>
            <w:proofErr w:type="gramStart"/>
            <w:r>
              <w:t>пунктах</w:t>
            </w:r>
            <w:proofErr w:type="gramEnd"/>
            <w:r>
              <w:t xml:space="preserve"> и постоянно проживающем в них населении содержится в цифровом формате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</w:t>
            </w:r>
            <w:proofErr w:type="spellStart"/>
            <w:r>
              <w:t>прослеживаемость</w:t>
            </w:r>
            <w:proofErr w:type="spellEnd"/>
            <w:r>
              <w:t xml:space="preserve"> зерна и продуктов его переработки, подлежащих прослеживанию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Обеспечен учет сельскохозяйственных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</w:t>
            </w:r>
            <w:proofErr w:type="spellStart"/>
            <w:r>
              <w:t>прослеживаемость</w:t>
            </w:r>
            <w:proofErr w:type="spellEnd"/>
            <w:r>
              <w:t xml:space="preserve"> оборота животноводческой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Обеспечено покрытие мониторинга рыбопромысловой деятельности пользователей водных биологических ресурсов в режиме, приближенном к реальному времени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Процент рыбопромысловых судов, оснащенных электронными весами и камерами с передачей информации в режиме реального времени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Сведения о земельных </w:t>
            </w:r>
            <w:proofErr w:type="gramStart"/>
            <w:r>
              <w:t>участках</w:t>
            </w:r>
            <w:proofErr w:type="gramEnd"/>
            <w:r>
              <w:t xml:space="preserve"> сельскохозяйственного назначения, синхронизированные со сведениями Единого государственного реестра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Наличие информации о структуре севооборота, </w:t>
            </w:r>
            <w:r>
              <w:lastRenderedPageBreak/>
              <w:t>осуществляющегося на земельных участках, количество и виды вносимых удобрений, включая азотные удобрения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Наличие информации о производимой на земельных участках сельскохозяйственной продукции (виды, урожайность, валовой сбор) и сельскохозяйственных товаропроизводителях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Обеспечена возможность дистанционного определения состояния посевов и объемов сельскохозяйственных культур на обрабатываемых землях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>Наличие информации о видах и размере получаемой государственной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Обеспечено повышение квалификации работников предприятий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 по образовательным программам, включающим программы освоения цифровых компетенций в </w:t>
            </w:r>
            <w:proofErr w:type="gramStart"/>
            <w:r>
              <w:t>агропромышленном</w:t>
            </w:r>
            <w:proofErr w:type="gramEnd"/>
            <w:r>
              <w:t xml:space="preserve">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чел. в год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1000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Количество образовательных организаций высшего образования, подведомственных Минсельхозу России, включивших в образовательные </w:t>
            </w:r>
            <w:r>
              <w:lastRenderedPageBreak/>
              <w:t xml:space="preserve">программы освоения цифровых компетенций в </w:t>
            </w:r>
            <w:proofErr w:type="gramStart"/>
            <w:r>
              <w:t>агропромышленном</w:t>
            </w:r>
            <w:proofErr w:type="gramEnd"/>
            <w:r>
              <w:t xml:space="preserve">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Доля субъектов малого предпринимательства в </w:t>
            </w:r>
            <w:proofErr w:type="gramStart"/>
            <w:r>
              <w:t>агропромышленном</w:t>
            </w:r>
            <w:proofErr w:type="gramEnd"/>
            <w:r>
              <w:t xml:space="preserve">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комплексах, имеющих доступ к цифровым каналам сбыта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50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254C3" w:rsidRDefault="008254C3">
            <w:pPr>
              <w:pStyle w:val="ConsPlusNormal"/>
            </w:pPr>
            <w:r>
              <w:t>Минсельхоз России (в части стимулирования внедрения)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</w:pPr>
            <w:r>
              <w:t xml:space="preserve">Доля российской электронной продукции, используемой при реализации проектов цифровой трансформации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комплексов, в общем объеме электронной продукции, используемой при реализации проектов цифровой трансформации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47</w:t>
            </w:r>
          </w:p>
        </w:tc>
      </w:tr>
      <w:tr w:rsidR="008254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</w:pPr>
            <w:r>
              <w:t>Доля электронной продукции, произведенной российскими организациями, в общем объеме внутреннего рынка электроники (по выручке)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4C3" w:rsidRDefault="008254C3">
            <w:pPr>
              <w:pStyle w:val="ConsPlusNormal"/>
              <w:jc w:val="center"/>
            </w:pPr>
            <w:r>
              <w:t>59,1</w:t>
            </w:r>
          </w:p>
        </w:tc>
      </w:tr>
    </w:tbl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jc w:val="both"/>
      </w:pPr>
    </w:p>
    <w:p w:rsidR="008254C3" w:rsidRDefault="00825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8F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C3"/>
    <w:rsid w:val="008254C3"/>
    <w:rsid w:val="00B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1A082698B90B493D2CA39A981B19A4A8E511C90E905EC594315790F14tEj6K" TargetMode="External"/><Relationship Id="rId13" Type="http://schemas.openxmlformats.org/officeDocument/2006/relationships/hyperlink" Target="consultantplus://offline/ref=0C3F2684C12DF79E3782E08C9DECAA0CA6A5826D8F92B493D2CA39A981B19A4A9C51449CEB07F25B40002F5E52B13E674095A9D2D2D50D0At0j2K" TargetMode="External"/><Relationship Id="rId18" Type="http://schemas.openxmlformats.org/officeDocument/2006/relationships/hyperlink" Target="consultantplus://offline/ref=0C3F2684C12DF79E3782E08C9DECAA0CA1AC8F6B8E97B493D2CA39A981B19A4A8E511C90E905EC594315790F14tEj6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C3F2684C12DF79E3782E08C9DECAA0CA6A58A698891B493D2CA39A981B19A4A8E511C90E905EC594315790F14tEj6K" TargetMode="External"/><Relationship Id="rId12" Type="http://schemas.openxmlformats.org/officeDocument/2006/relationships/hyperlink" Target="consultantplus://offline/ref=0C3F2684C12DF79E3782E08C9DECAA0CA1AC8C618B92B493D2CA39A981B19A4A9C514499EF05F55C4B5F2A4B43E931675C8BAACFCED70Ft0jAK" TargetMode="External"/><Relationship Id="rId17" Type="http://schemas.openxmlformats.org/officeDocument/2006/relationships/hyperlink" Target="consultantplus://offline/ref=0C3F2684C12DF79E3782E08C9DECAA0CA3AC8B688090B493D2CA39A981B19A4A9C51449CEB07F25949002F5E52B13E674095A9D2D2D50D0At0j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F2684C12DF79E3782E08C9DECAA0CA6A58E6F8994B493D2CA39A981B19A4A9C51449CEB07F25841002F5E52B13E674095A9D2D2D50D0At0j2K" TargetMode="External"/><Relationship Id="rId20" Type="http://schemas.openxmlformats.org/officeDocument/2006/relationships/hyperlink" Target="consultantplus://offline/ref=0C3F2684C12DF79E3782E08C9DECAA0CA6A48A688A92B493D2CA39A981B19A4A9C51449CEB07F25B42002F5E52B13E674095A9D2D2D50D0At0j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2684C12DF79E3782E08C9DECAA0CA1AC886A8C9EB493D2CA39A981B19A4A8E511C90E905EC594315790F14tEj6K" TargetMode="External"/><Relationship Id="rId11" Type="http://schemas.openxmlformats.org/officeDocument/2006/relationships/hyperlink" Target="consultantplus://offline/ref=0C3F2684C12DF79E3782E08C9DECAA0CA1AC896F8B9EB493D2CA39A981B19A4A9C51449CEE0EF05D44002F5E52B13E674095A9D2D2D50D0At0j2K" TargetMode="External"/><Relationship Id="rId5" Type="http://schemas.openxmlformats.org/officeDocument/2006/relationships/hyperlink" Target="consultantplus://offline/ref=0C3F2684C12DF79E3782E08C9DECAA0CA1A2896B809EB493D2CA39A981B19A4A8E511C90E905EC594315790F14tEj6K" TargetMode="External"/><Relationship Id="rId15" Type="http://schemas.openxmlformats.org/officeDocument/2006/relationships/hyperlink" Target="consultantplus://offline/ref=0C3F2684C12DF79E3782E08C9DECAA0CA1A48A618996B493D2CA39A981B19A4A9C51449CEB07F25949002F5E52B13E674095A9D2D2D50D0At0j2K" TargetMode="External"/><Relationship Id="rId10" Type="http://schemas.openxmlformats.org/officeDocument/2006/relationships/hyperlink" Target="consultantplus://offline/ref=0C3F2684C12DF79E3782E08C9DECAA0CA1A08D608B91B493D2CA39A981B19A4A8E511C90E905EC594315790F14tEj6K" TargetMode="External"/><Relationship Id="rId19" Type="http://schemas.openxmlformats.org/officeDocument/2006/relationships/hyperlink" Target="consultantplus://offline/ref=0C3F2684C12DF79E3782E08C9DECAA0CA1A08D608B91B493D2CA39A981B19A4A8E511C90E905EC594315790F14tEj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F2684C12DF79E3782E08C9DECAA0CA1A68F688192B493D2CA39A981B19A4A8E511C90E905EC594315790F14tEj6K" TargetMode="External"/><Relationship Id="rId14" Type="http://schemas.openxmlformats.org/officeDocument/2006/relationships/hyperlink" Target="consultantplus://offline/ref=0C3F2684C12DF79E3782E08C9DECAA0CA1A08A6D8A91B493D2CA39A981B19A4A9C51449CEB07F25948002F5E52B13E674095A9D2D2D50D0At0j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3090</Words>
  <Characters>17616</Characters>
  <Application>Microsoft Office Word</Application>
  <DocSecurity>0</DocSecurity>
  <Lines>146</Lines>
  <Paragraphs>41</Paragraphs>
  <ScaleCrop>false</ScaleCrop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1</cp:revision>
  <dcterms:created xsi:type="dcterms:W3CDTF">2022-03-22T10:35:00Z</dcterms:created>
  <dcterms:modified xsi:type="dcterms:W3CDTF">2022-03-22T10:35:00Z</dcterms:modified>
</cp:coreProperties>
</file>