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E8" w:rsidRDefault="002466A1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p w:rsidR="002C75E8" w:rsidRDefault="002466A1">
      <w:pPr>
        <w:spacing w:after="295" w:line="259" w:lineRule="auto"/>
        <w:ind w:left="1749" w:firstLine="0"/>
        <w:jc w:val="left"/>
      </w:pPr>
      <w:r>
        <w:rPr>
          <w:noProof/>
        </w:rPr>
        <w:drawing>
          <wp:inline distT="0" distB="0" distL="0" distR="0">
            <wp:extent cx="561975" cy="666750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17" w:type="dxa"/>
        <w:tblInd w:w="108" w:type="dxa"/>
        <w:tblLook w:val="04A0" w:firstRow="1" w:lastRow="0" w:firstColumn="1" w:lastColumn="0" w:noHBand="0" w:noVBand="1"/>
      </w:tblPr>
      <w:tblGrid>
        <w:gridCol w:w="6174"/>
        <w:gridCol w:w="2343"/>
      </w:tblGrid>
      <w:tr w:rsidR="002C75E8">
        <w:trPr>
          <w:trHeight w:val="3277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2C75E8" w:rsidRDefault="002466A1">
            <w:pPr>
              <w:spacing w:after="0" w:line="259" w:lineRule="auto"/>
              <w:ind w:left="1140" w:firstLine="0"/>
              <w:jc w:val="left"/>
            </w:pPr>
            <w:r>
              <w:rPr>
                <w:b/>
                <w:color w:val="003399"/>
                <w:sz w:val="22"/>
              </w:rPr>
              <w:t xml:space="preserve">МИНИСТЕРСТВО  </w:t>
            </w:r>
          </w:p>
          <w:p w:rsidR="002C75E8" w:rsidRDefault="002466A1">
            <w:pPr>
              <w:spacing w:after="0" w:line="259" w:lineRule="auto"/>
              <w:ind w:left="384" w:firstLine="0"/>
              <w:jc w:val="left"/>
            </w:pPr>
            <w:r>
              <w:rPr>
                <w:b/>
                <w:color w:val="003399"/>
                <w:sz w:val="22"/>
              </w:rPr>
              <w:t>ЭКОНОМИЧЕСКОГО РАЗВИТИЯ</w:t>
            </w:r>
            <w:r>
              <w:rPr>
                <w:color w:val="003399"/>
                <w:sz w:val="24"/>
              </w:rPr>
              <w:t xml:space="preserve"> </w:t>
            </w:r>
          </w:p>
          <w:p w:rsidR="002C75E8" w:rsidRDefault="002466A1">
            <w:pPr>
              <w:spacing w:after="0" w:line="259" w:lineRule="auto"/>
              <w:ind w:left="569" w:firstLine="0"/>
              <w:jc w:val="left"/>
            </w:pPr>
            <w:r>
              <w:rPr>
                <w:b/>
                <w:color w:val="003399"/>
                <w:sz w:val="22"/>
              </w:rPr>
              <w:t>РОССИЙСКОЙ ФЕДЕРАЦИИ</w:t>
            </w:r>
            <w:r>
              <w:rPr>
                <w:color w:val="003399"/>
                <w:sz w:val="24"/>
              </w:rPr>
              <w:t xml:space="preserve"> </w:t>
            </w:r>
          </w:p>
          <w:p w:rsidR="002C75E8" w:rsidRDefault="002466A1">
            <w:pPr>
              <w:spacing w:after="132" w:line="259" w:lineRule="auto"/>
              <w:ind w:left="442" w:firstLine="0"/>
              <w:jc w:val="left"/>
            </w:pPr>
            <w:r>
              <w:rPr>
                <w:color w:val="003399"/>
                <w:sz w:val="20"/>
              </w:rPr>
              <w:t xml:space="preserve">(МИНЭКОНОМРАЗВИТИЯ РОССИИ) </w:t>
            </w:r>
          </w:p>
          <w:p w:rsidR="002C75E8" w:rsidRDefault="002466A1">
            <w:pPr>
              <w:spacing w:after="45" w:line="259" w:lineRule="auto"/>
              <w:ind w:left="466" w:firstLine="0"/>
              <w:jc w:val="left"/>
            </w:pPr>
            <w:r>
              <w:rPr>
                <w:b/>
                <w:color w:val="003399"/>
                <w:sz w:val="23"/>
              </w:rPr>
              <w:t xml:space="preserve">ЗАМЕСТИТЕЛЬ МИНИСТРА </w:t>
            </w:r>
          </w:p>
          <w:p w:rsidR="002C75E8" w:rsidRDefault="002466A1">
            <w:pPr>
              <w:spacing w:after="0" w:line="259" w:lineRule="auto"/>
              <w:ind w:left="259" w:firstLine="0"/>
              <w:jc w:val="left"/>
            </w:pPr>
            <w:r>
              <w:rPr>
                <w:color w:val="003399"/>
                <w:sz w:val="18"/>
              </w:rPr>
              <w:t xml:space="preserve">Пресненская наб., д. 10, стр. 2, Москва, 123112 </w:t>
            </w:r>
          </w:p>
          <w:p w:rsidR="002C75E8" w:rsidRDefault="002466A1">
            <w:pPr>
              <w:spacing w:after="0" w:line="259" w:lineRule="auto"/>
              <w:ind w:left="434" w:firstLine="0"/>
              <w:jc w:val="left"/>
            </w:pPr>
            <w:r>
              <w:rPr>
                <w:color w:val="003399"/>
                <w:sz w:val="18"/>
              </w:rPr>
              <w:t xml:space="preserve">Тел. (495) 870-70-12, Факс (495) 870-70-06 </w:t>
            </w:r>
          </w:p>
          <w:p w:rsidR="002C75E8" w:rsidRDefault="002466A1">
            <w:pPr>
              <w:spacing w:after="286" w:line="216" w:lineRule="auto"/>
              <w:ind w:left="1070" w:right="621" w:hanging="367"/>
              <w:jc w:val="left"/>
            </w:pPr>
            <w:r>
              <w:rPr>
                <w:color w:val="003399"/>
                <w:sz w:val="18"/>
              </w:rPr>
              <w:t>E-</w:t>
            </w:r>
            <w:proofErr w:type="spellStart"/>
            <w:r>
              <w:rPr>
                <w:color w:val="003399"/>
                <w:sz w:val="18"/>
              </w:rPr>
              <w:t>mail</w:t>
            </w:r>
            <w:proofErr w:type="spellEnd"/>
            <w:r>
              <w:rPr>
                <w:color w:val="003399"/>
                <w:sz w:val="18"/>
              </w:rPr>
              <w:t>: mineconom@economy.gov.ru http://www.economy.gov.ru</w:t>
            </w:r>
            <w:r>
              <w:t xml:space="preserve"> </w:t>
            </w:r>
          </w:p>
          <w:p w:rsidR="002C75E8" w:rsidRDefault="002466A1">
            <w:pPr>
              <w:spacing w:after="0" w:line="259" w:lineRule="auto"/>
              <w:ind w:left="57" w:right="1758" w:hanging="14"/>
              <w:jc w:val="left"/>
            </w:pPr>
            <w:r>
              <w:rPr>
                <w:color w:val="003399"/>
                <w:sz w:val="20"/>
              </w:rPr>
              <w:t>_____________________№__________________ На №______________________от____________</w:t>
            </w:r>
            <w: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C75E8" w:rsidRDefault="002466A1">
            <w:pPr>
              <w:spacing w:after="0" w:line="259" w:lineRule="auto"/>
              <w:ind w:left="0" w:firstLine="0"/>
            </w:pPr>
            <w:r>
              <w:t xml:space="preserve">Минцифры России </w:t>
            </w:r>
          </w:p>
        </w:tc>
      </w:tr>
      <w:tr w:rsidR="002C75E8">
        <w:trPr>
          <w:trHeight w:val="1244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2C75E8" w:rsidRDefault="002466A1">
            <w:pPr>
              <w:spacing w:after="424" w:line="259" w:lineRule="auto"/>
              <w:ind w:left="2088" w:firstLine="0"/>
              <w:jc w:val="left"/>
            </w:pPr>
            <w:r>
              <w:rPr>
                <w:color w:val="003399"/>
                <w:sz w:val="20"/>
              </w:rPr>
              <w:t xml:space="preserve"> </w:t>
            </w:r>
          </w:p>
          <w:p w:rsidR="002C75E8" w:rsidRDefault="002466A1">
            <w:pPr>
              <w:tabs>
                <w:tab w:val="center" w:pos="1317"/>
                <w:tab w:val="center" w:pos="3232"/>
              </w:tabs>
              <w:spacing w:after="0" w:line="259" w:lineRule="auto"/>
              <w:ind w:left="0" w:firstLine="0"/>
              <w:jc w:val="left"/>
            </w:pPr>
            <w:r>
              <w:t xml:space="preserve">Об </w:t>
            </w:r>
            <w:r>
              <w:tab/>
              <w:t xml:space="preserve">оценке </w:t>
            </w:r>
            <w:r>
              <w:tab/>
              <w:t xml:space="preserve">регулирующего  </w:t>
            </w:r>
          </w:p>
          <w:p w:rsidR="002C75E8" w:rsidRDefault="002466A1">
            <w:pPr>
              <w:spacing w:after="0" w:line="259" w:lineRule="auto"/>
              <w:ind w:left="0" w:firstLine="0"/>
              <w:jc w:val="left"/>
            </w:pPr>
            <w:r>
              <w:t>воздействия проекта акта</w:t>
            </w:r>
            <w:r>
              <w:rPr>
                <w:color w:val="003399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C75E8" w:rsidRDefault="002466A1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:rsidR="002C75E8" w:rsidRDefault="002466A1">
      <w:pPr>
        <w:spacing w:after="6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7571" cy="6096"/>
                <wp:effectExtent l="0" t="0" r="0" b="0"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571" cy="6096"/>
                          <a:chOff x="0" y="0"/>
                          <a:chExt cx="2917571" cy="6096"/>
                        </a:xfrm>
                      </wpg:grpSpPr>
                      <wps:wsp>
                        <wps:cNvPr id="5178" name="Shape 5178"/>
                        <wps:cNvSpPr/>
                        <wps:spPr>
                          <a:xfrm>
                            <a:off x="0" y="0"/>
                            <a:ext cx="2791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079" h="9144">
                                <a:moveTo>
                                  <a:pt x="0" y="0"/>
                                </a:moveTo>
                                <a:lnTo>
                                  <a:pt x="2791079" y="0"/>
                                </a:lnTo>
                                <a:lnTo>
                                  <a:pt x="2791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27910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2797175" y="0"/>
                            <a:ext cx="120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9144">
                                <a:moveTo>
                                  <a:pt x="0" y="0"/>
                                </a:moveTo>
                                <a:lnTo>
                                  <a:pt x="120396" y="0"/>
                                </a:lnTo>
                                <a:lnTo>
                                  <a:pt x="120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983" style="width:229.73pt;height:0.480011pt;mso-position-horizontal-relative:char;mso-position-vertical-relative:line" coordsize="29175,60">
                <v:shape id="Shape 5181" style="position:absolute;width:27910;height:91;left:0;top:0;" coordsize="2791079,9144" path="m0,0l2791079,0l2791079,9144l0,9144l0,0">
                  <v:stroke weight="0pt" endcap="flat" joinstyle="miter" miterlimit="10" on="false" color="#000000" opacity="0"/>
                  <v:fill on="true" color="#000000"/>
                </v:shape>
                <v:shape id="Shape 5182" style="position:absolute;width:91;height:91;left:279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83" style="position:absolute;width:1203;height:91;left:27971;top:0;" coordsize="120396,9144" path="m0,0l120396,0l1203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C75E8" w:rsidRDefault="002466A1" w:rsidP="00F71428">
      <w:pPr>
        <w:tabs>
          <w:tab w:val="center" w:pos="1781"/>
          <w:tab w:val="center" w:pos="3808"/>
          <w:tab w:val="center" w:pos="7516"/>
        </w:tabs>
        <w:ind w:left="0" w:firstLine="0"/>
        <w:jc w:val="left"/>
      </w:pPr>
      <w:r>
        <w:t xml:space="preserve">На </w:t>
      </w:r>
      <w:r w:rsidR="00F71428">
        <w:t xml:space="preserve">письмо </w:t>
      </w:r>
      <w:r w:rsidR="00F71428">
        <w:tab/>
        <w:t xml:space="preserve">Минцифры </w:t>
      </w:r>
      <w:r>
        <w:t xml:space="preserve">России </w:t>
      </w:r>
      <w:r w:rsidR="00F71428">
        <w:br/>
      </w:r>
      <w:r>
        <w:t xml:space="preserve">от 6 мая </w:t>
      </w:r>
      <w:r>
        <w:tab/>
        <w:t xml:space="preserve">2022 г. </w:t>
      </w:r>
      <w:r w:rsidR="00F71428">
        <w:t>№</w:t>
      </w:r>
      <w:r>
        <w:t xml:space="preserve"> ОП-П15-102-22320 </w:t>
      </w:r>
    </w:p>
    <w:p w:rsidR="002C75E8" w:rsidRDefault="002466A1">
      <w:pPr>
        <w:spacing w:after="0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0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0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0" w:line="259" w:lineRule="auto"/>
        <w:ind w:left="10" w:right="77" w:hanging="10"/>
        <w:jc w:val="center"/>
      </w:pPr>
      <w:r>
        <w:t xml:space="preserve">ЗАКЛЮЧЕНИЕ  </w:t>
      </w:r>
    </w:p>
    <w:p w:rsidR="002C75E8" w:rsidRDefault="002466A1" w:rsidP="00F71428">
      <w:pPr>
        <w:spacing w:after="0" w:line="259" w:lineRule="auto"/>
        <w:ind w:left="10" w:right="79" w:hanging="10"/>
        <w:jc w:val="center"/>
      </w:pPr>
      <w:r>
        <w:t xml:space="preserve">об оценке регулирующего воздействия на проект постановления </w:t>
      </w:r>
      <w:r w:rsidR="00F71428">
        <w:br/>
      </w:r>
      <w:r>
        <w:t>Правительства</w:t>
      </w:r>
      <w:r w:rsidR="00F71428">
        <w:t xml:space="preserve"> </w:t>
      </w:r>
      <w:r>
        <w:t xml:space="preserve">Российской Федерации «Об утверждении Требований для прохождения аккредитации государственных органов, являющихся владельцами </w:t>
      </w:r>
      <w:r w:rsidR="00F71428">
        <w:br/>
      </w:r>
      <w:r>
        <w:t>и (или)</w:t>
      </w:r>
      <w:r w:rsidR="00F71428">
        <w:t xml:space="preserve"> </w:t>
      </w:r>
      <w:r>
        <w:t>операторами государственных информационных систем, с применением которых осуществляется идентификация и (или) аутентификация, а также Правил прохождения такой аккредитации»</w:t>
      </w:r>
    </w:p>
    <w:p w:rsidR="002C75E8" w:rsidRDefault="002C75E8" w:rsidP="00F71428">
      <w:pPr>
        <w:spacing w:after="0" w:line="259" w:lineRule="auto"/>
        <w:ind w:left="0" w:right="12" w:firstLine="0"/>
        <w:jc w:val="center"/>
      </w:pPr>
    </w:p>
    <w:p w:rsidR="002C75E8" w:rsidRDefault="002466A1">
      <w:pPr>
        <w:spacing w:after="0" w:line="259" w:lineRule="auto"/>
        <w:ind w:left="0" w:right="12" w:firstLine="0"/>
        <w:jc w:val="center"/>
      </w:pPr>
      <w:r>
        <w:t xml:space="preserve"> </w:t>
      </w:r>
    </w:p>
    <w:p w:rsidR="002C75E8" w:rsidRDefault="002466A1">
      <w:pPr>
        <w:ind w:left="-15"/>
      </w:pPr>
      <w:r>
        <w:t xml:space="preserve">Минэкономразвития России рассмотрело проект постановления Правительства Российской Федерации «Об утверждении Требований для прохождения аккредитации государственных органов, являющихся владельцами и (или) операторами государственных информационных систем, с применением которых осуществляется идентификация и (или) аутентификация, а также Правил прохождения такой аккредитации» (далее – проект акта), направленный Минцифры </w:t>
      </w:r>
      <w:r>
        <w:lastRenderedPageBreak/>
        <w:t xml:space="preserve">России </w:t>
      </w:r>
      <w:r w:rsidR="00F71428">
        <w:br/>
      </w:r>
      <w:r>
        <w:t xml:space="preserve">(далее – разработчик) для получения на него заключения об оценке регулирующего воздействия, регламентированной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 декабря 2012 г. № 1318, и в рамках установленной компетенции сообщает следующее. </w:t>
      </w:r>
    </w:p>
    <w:p w:rsidR="002C75E8" w:rsidRDefault="002466A1">
      <w:pPr>
        <w:ind w:left="-15"/>
      </w:pPr>
      <w:r>
        <w:t xml:space="preserve">Разработчиком проведены публичные обсуждения проекта акта и сводного отчета о проведении оценки регулирующего воздействия в период с 6 апреля по 5 мая 2022 г.  </w:t>
      </w:r>
    </w:p>
    <w:p w:rsidR="002C75E8" w:rsidRDefault="002466A1">
      <w:pPr>
        <w:ind w:left="-15"/>
      </w:pPr>
      <w: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="00F71428">
        <w:br/>
      </w:r>
      <w:r>
        <w:t xml:space="preserve">в информационно-телекоммуникационной сети «Интернет» по адресу: regulation.gov.ru (ID проекта: 02/07/04-22/00126373).  </w:t>
      </w:r>
    </w:p>
    <w:p w:rsidR="002C75E8" w:rsidRDefault="002466A1">
      <w:pPr>
        <w:ind w:left="-15"/>
      </w:pPr>
      <w:r>
        <w:t xml:space="preserve">В ходе публичного обсуждения предложений и замечаний к проекту акта </w:t>
      </w:r>
      <w:r w:rsidR="00F71428">
        <w:br/>
      </w:r>
      <w:r>
        <w:t xml:space="preserve">не поступало.   </w:t>
      </w:r>
    </w:p>
    <w:p w:rsidR="002C75E8" w:rsidRDefault="002466A1">
      <w:pPr>
        <w:ind w:left="-15"/>
      </w:pPr>
      <w:r>
        <w:t xml:space="preserve">Проект акта направлен разработчиком для подготовки настоящего заключения впервые. </w:t>
      </w:r>
    </w:p>
    <w:p w:rsidR="002C75E8" w:rsidRDefault="002466A1">
      <w:pPr>
        <w:ind w:left="-15"/>
      </w:pPr>
      <w:r>
        <w:t>Проект акта разработан в целях обеспечения возможности аккредитованных Минцифры России государственных органов осуществлять идентификацию и (или) аутентификацию с использованием биометрических персональных данных</w:t>
      </w:r>
      <w:r w:rsidR="00F71428">
        <w:br/>
      </w:r>
      <w:r>
        <w:t xml:space="preserve">с применением своих информационных систем. </w:t>
      </w:r>
    </w:p>
    <w:p w:rsidR="002C75E8" w:rsidRDefault="002466A1">
      <w:pPr>
        <w:ind w:left="-15"/>
      </w:pPr>
      <w:r>
        <w:t xml:space="preserve">В соответствии с частью 18.14 статьи 14.1 Федерального закона  </w:t>
      </w:r>
      <w:r w:rsidR="003F65B5">
        <w:br/>
      </w:r>
      <w:r>
        <w:t>от 27 июля 2006 г. № 149-ФЗ «Об информац</w:t>
      </w:r>
      <w:r w:rsidR="003F65B5">
        <w:t>ии, информационных технологиях</w:t>
      </w:r>
      <w:r w:rsidR="003F65B5">
        <w:br/>
      </w:r>
      <w:r>
        <w:t xml:space="preserve">и о защите информации» в случае, если для реализации установленных нормативными правовыми актами полномочий государственных органов и (или) органов местного самоуправления идентификация и (или) аутентификация осуществляются с применением иных государственных информационных систем, (далее – ГИС) владельцами и (или) операторами которых являются государственные органы, прошедшие аккредитацию на право владения такими ГИС и (или) осуществления функций их операторов в порядке и в соответствии с требованиями, которые установлены Правительством Российской Федерации по согласованию </w:t>
      </w:r>
      <w:r w:rsidR="00F71428">
        <w:br/>
      </w:r>
      <w:r>
        <w:t xml:space="preserve">с федеральным органом исполнительной власти, уполномоченным в области </w:t>
      </w:r>
      <w:r>
        <w:lastRenderedPageBreak/>
        <w:t xml:space="preserve">обеспечения безопасности, уполномоченным органом по защите прав субъектов персональных данных, Центральным банком Российской Федерации. </w:t>
      </w:r>
    </w:p>
    <w:p w:rsidR="002C75E8" w:rsidRDefault="002466A1">
      <w:pPr>
        <w:ind w:left="-15"/>
      </w:pPr>
      <w:r>
        <w:t xml:space="preserve">Проектом акта определяются требования к указанным государственным органам, необходимые для прохождения аккредитации, и условия их выполнения.  </w:t>
      </w:r>
    </w:p>
    <w:p w:rsidR="002C75E8" w:rsidRDefault="002466A1" w:rsidP="00F71428">
      <w:pPr>
        <w:ind w:left="-15"/>
      </w:pPr>
      <w:r>
        <w:t xml:space="preserve">В период с 12 по 26 мая 2022 г. Минэкономразвития России были проведены дополнительные публичные консультации по проекту акта с комиссиями Государственного Совета Российской Федерации. В указанный период замечания </w:t>
      </w:r>
      <w:r w:rsidR="00F71428">
        <w:br/>
      </w:r>
      <w:r>
        <w:t xml:space="preserve">к проекту акта от указанных комиссий не поступали. </w:t>
      </w:r>
    </w:p>
    <w:p w:rsidR="00F71428" w:rsidRDefault="002466A1" w:rsidP="00F71428">
      <w:pPr>
        <w:ind w:left="-15"/>
      </w:pPr>
      <w:r>
        <w:t xml:space="preserve">По итогам оценки регулирующего воздействия Минэкономразвития России могут быть сделаны следующие выводы: </w:t>
      </w:r>
    </w:p>
    <w:p w:rsidR="002C75E8" w:rsidRDefault="002466A1" w:rsidP="00F71428">
      <w:pPr>
        <w:ind w:left="-15"/>
      </w:pPr>
      <w:r>
        <w:t xml:space="preserve">о достаточном обосновании решения проблемы предложенным способом регулирования; об отсутствии в проекте акта положений, приводящих </w:t>
      </w:r>
      <w:r w:rsidR="00F71428">
        <w:br/>
      </w:r>
      <w:r>
        <w:t xml:space="preserve">к возникновению дополнительных расходов бюджетов субъектов Российской Федерации и (или) местных бюджетов, а также к снижению доходов бюджетов субъектов Российской Федерации и (или) местных бюджетов. </w:t>
      </w:r>
    </w:p>
    <w:p w:rsidR="002C75E8" w:rsidRDefault="002466A1">
      <w:pPr>
        <w:ind w:left="708" w:firstLine="0"/>
      </w:pPr>
      <w:r>
        <w:t xml:space="preserve">Одновременно отмечаем, что к проекту акта имеются следующие замечания. </w:t>
      </w:r>
    </w:p>
    <w:p w:rsidR="002C75E8" w:rsidRDefault="002466A1">
      <w:pPr>
        <w:numPr>
          <w:ilvl w:val="0"/>
          <w:numId w:val="1"/>
        </w:numPr>
      </w:pPr>
      <w:r>
        <w:t xml:space="preserve">Согласно подпункту 5.4.10 пункта 5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№ 418  (далее – Положение № 418), Минцифры России осуществляет аккредитацию организаций, осуществляющих идентификацию и (или) аутентификацию </w:t>
      </w:r>
      <w:r w:rsidR="00F71428">
        <w:br/>
      </w:r>
      <w:r>
        <w:t xml:space="preserve">с использованием биометрических персональных данных физических лиц. </w:t>
      </w:r>
    </w:p>
    <w:p w:rsidR="002C75E8" w:rsidRDefault="002466A1">
      <w:pPr>
        <w:ind w:left="-15"/>
      </w:pPr>
      <w:r>
        <w:t xml:space="preserve">Вместе с тем аналогичное полномочие об аккредитации Минцифры России государственных органов, являющихся владельцами и (или) операторами ГИС, </w:t>
      </w:r>
      <w:r w:rsidR="00F71428">
        <w:br/>
      </w:r>
      <w:r>
        <w:t xml:space="preserve">с применением которых осуществляется идентификация и (или) аутентификация, </w:t>
      </w:r>
      <w:r w:rsidR="00F71428">
        <w:br/>
      </w:r>
      <w:r>
        <w:t xml:space="preserve">в Положении № 418 отсутствует. </w:t>
      </w:r>
    </w:p>
    <w:p w:rsidR="002C75E8" w:rsidRDefault="002466A1">
      <w:pPr>
        <w:ind w:left="-15"/>
      </w:pPr>
      <w:r>
        <w:t xml:space="preserve">Представляется, что при доработке проекта постановления следует дополнить Положение № 418 соответствующим полномочием. </w:t>
      </w:r>
    </w:p>
    <w:p w:rsidR="002C75E8" w:rsidRDefault="002466A1">
      <w:pPr>
        <w:numPr>
          <w:ilvl w:val="0"/>
          <w:numId w:val="1"/>
        </w:numPr>
      </w:pPr>
      <w:r>
        <w:t xml:space="preserve">В соответствии с подпунктом «в» пункта 1 проекта Требований для прохождения аккредитации государственных органов, являющихся владельцами  </w:t>
      </w:r>
      <w:r w:rsidR="00C64EE5">
        <w:br/>
      </w:r>
      <w:r>
        <w:t xml:space="preserve">и (или) операторами государственных информационных систем, с применением которых осуществляется идентификация и (или) аутентификация (далее – проект Требований), аккредитация государственного органа, являющегося владельцем </w:t>
      </w:r>
      <w:r w:rsidR="00F71428">
        <w:br/>
      </w:r>
      <w:r>
        <w:t xml:space="preserve">и оператором либо оператором ГИС, с применением которой осуществляется </w:t>
      </w:r>
      <w:r>
        <w:lastRenderedPageBreak/>
        <w:t xml:space="preserve">идентификация и (или) аутентификация, осуществляется при условии отсутствия досрочного прекращения аккредитации в течение трех лет, предшествующих дню подачи заявления. </w:t>
      </w:r>
    </w:p>
    <w:p w:rsidR="002C75E8" w:rsidRDefault="002466A1">
      <w:pPr>
        <w:ind w:left="-15"/>
      </w:pPr>
      <w:r>
        <w:t xml:space="preserve">Вместе с тем указанное требование нуждается в обосновании в случае, если аккредитация была прекращена ранее в инициативном порядке.  </w:t>
      </w:r>
    </w:p>
    <w:p w:rsidR="002C75E8" w:rsidRDefault="002466A1">
      <w:pPr>
        <w:spacing w:after="68" w:line="259" w:lineRule="auto"/>
        <w:ind w:left="10" w:right="-4" w:hanging="10"/>
        <w:jc w:val="right"/>
      </w:pPr>
      <w:r>
        <w:t xml:space="preserve">Аналогичное замечание имеется к подпункту «г» пункта 2 проекта Требований. </w:t>
      </w:r>
    </w:p>
    <w:p w:rsidR="002C75E8" w:rsidRDefault="002466A1">
      <w:pPr>
        <w:numPr>
          <w:ilvl w:val="0"/>
          <w:numId w:val="1"/>
        </w:numPr>
      </w:pPr>
      <w:r>
        <w:t xml:space="preserve">Подпунктом «г» пункта 1 проекта Требований закреплено требование </w:t>
      </w:r>
      <w:r w:rsidR="00F71428">
        <w:br/>
      </w:r>
      <w:r>
        <w:t xml:space="preserve">о наличии у аккредитуемого государственного органа подключения (доступа) </w:t>
      </w:r>
      <w:r w:rsidR="00F71428">
        <w:br/>
      </w:r>
      <w:r>
        <w:t xml:space="preserve">к государственной системе обнаружения, предупреждения и ликвидации последствий компьютерных атак на информационные ресурсы Российской Федерации. При этом неясно, в каком порядке аккредитуемый государственный орган может получить данное подключение (доступ). </w:t>
      </w:r>
    </w:p>
    <w:p w:rsidR="002C75E8" w:rsidRDefault="002466A1">
      <w:pPr>
        <w:ind w:left="-15"/>
      </w:pPr>
      <w:r>
        <w:t xml:space="preserve">Аналогичное замечание относится к подпункту «д» пункта 2 проекта Требований. </w:t>
      </w:r>
    </w:p>
    <w:p w:rsidR="002C75E8" w:rsidRDefault="002466A1">
      <w:pPr>
        <w:numPr>
          <w:ilvl w:val="0"/>
          <w:numId w:val="1"/>
        </w:numPr>
      </w:pPr>
      <w:r>
        <w:t xml:space="preserve">Также неясно, в каком порядке аккредитуемый государственный орган должен получить положительное заключение Минцифры России, предусмотренное подпунктом «д» пункта 1 проекта Требований. </w:t>
      </w:r>
    </w:p>
    <w:p w:rsidR="002C75E8" w:rsidRDefault="002466A1">
      <w:pPr>
        <w:spacing w:after="68" w:line="259" w:lineRule="auto"/>
        <w:ind w:left="10" w:right="-4" w:hanging="10"/>
        <w:jc w:val="right"/>
      </w:pPr>
      <w:r>
        <w:t xml:space="preserve">Аналогичное замечание имеется к подпункту «е» пункта 2 проекта Требований. </w:t>
      </w:r>
    </w:p>
    <w:p w:rsidR="002C75E8" w:rsidRDefault="002466A1">
      <w:pPr>
        <w:numPr>
          <w:ilvl w:val="0"/>
          <w:numId w:val="1"/>
        </w:numPr>
      </w:pPr>
      <w:r>
        <w:t xml:space="preserve">Пунктом 2 проекта Требований устанавливаются требования </w:t>
      </w:r>
      <w:r w:rsidR="00F71428">
        <w:br/>
      </w:r>
      <w:r>
        <w:t xml:space="preserve">к государственным органам, являющимся владельцами ГИС. </w:t>
      </w:r>
    </w:p>
    <w:p w:rsidR="002C75E8" w:rsidRDefault="002466A1">
      <w:pPr>
        <w:ind w:left="-15"/>
      </w:pPr>
      <w:r>
        <w:t xml:space="preserve">Неясным является подход, в соответствии с которым для получения аккредитации государственным органам-владельцам ГИС необходимо, чтобы обязательным требованиям, перечисленным в пункте 2 проекта Требований, соответствовал государственный орган-оператор ГИС. </w:t>
      </w:r>
    </w:p>
    <w:p w:rsidR="002C75E8" w:rsidRDefault="002466A1">
      <w:pPr>
        <w:numPr>
          <w:ilvl w:val="0"/>
          <w:numId w:val="1"/>
        </w:numPr>
      </w:pPr>
      <w:r>
        <w:t xml:space="preserve">Необходимо уточнить, каким образом к государственному органу могут быть применены требования, содержащиеся, в частности, в подпунктах «з», «и», «к», «л» пункта 2 и иные требования, содержащиеся в проекте Требованиях и проекте Правил прохождения аккредитации государственных органов, являющихся владельцами   и  (или)  операторами государственных информационных  систем,  </w:t>
      </w:r>
      <w:r w:rsidR="00F71428">
        <w:br/>
      </w:r>
      <w:r>
        <w:t xml:space="preserve">с  применением  которых осуществляется  идентификация  и  (или)  аутентификация (далее – проект Правил). Также неясными применительно к государственным органам являются формулировки «требования к деловой репутации», «недостоверность сведений о юридическом лице», «уставный капитал» и др. </w:t>
      </w:r>
    </w:p>
    <w:p w:rsidR="002C75E8" w:rsidRDefault="002466A1">
      <w:pPr>
        <w:numPr>
          <w:ilvl w:val="0"/>
          <w:numId w:val="1"/>
        </w:numPr>
      </w:pPr>
      <w:r>
        <w:lastRenderedPageBreak/>
        <w:t xml:space="preserve">В соответствии с пунктом 15 проекта Правил Минцифры России принимает решение о приостановлении аккредитации у аккредитованного государственного органа в случае выявления несоответствия аккредитованного государственного органа требованиям для аккредитации и выдаче предписания </w:t>
      </w:r>
      <w:r w:rsidR="00F71428">
        <w:br/>
      </w:r>
      <w:r>
        <w:t xml:space="preserve">об устранении нарушения, связанного с нарушением требований для аккредитации государственного органа, и вносит соответствующую запись в перечень аккредитованных государственных органов не позднее 2 рабочих дней со дня принятия такого решения. </w:t>
      </w:r>
    </w:p>
    <w:p w:rsidR="002C75E8" w:rsidRDefault="002466A1">
      <w:pPr>
        <w:ind w:left="-15"/>
      </w:pPr>
      <w:r>
        <w:t xml:space="preserve">При этом проектом акта не установлено, в каком порядке возможно выявление несоответствия аккредитованного государственного органа требованиям для аккредитации. </w:t>
      </w:r>
    </w:p>
    <w:p w:rsidR="002C75E8" w:rsidRDefault="002466A1">
      <w:pPr>
        <w:spacing w:after="66" w:line="259" w:lineRule="auto"/>
        <w:ind w:left="708" w:firstLine="0"/>
        <w:jc w:val="left"/>
      </w:pPr>
      <w:r>
        <w:t xml:space="preserve"> </w:t>
      </w:r>
    </w:p>
    <w:p w:rsidR="002C75E8" w:rsidRDefault="002466A1">
      <w:pPr>
        <w:spacing w:after="0" w:line="259" w:lineRule="auto"/>
        <w:ind w:left="708" w:firstLine="0"/>
        <w:jc w:val="left"/>
      </w:pPr>
      <w:r>
        <w:t xml:space="preserve"> </w:t>
      </w:r>
    </w:p>
    <w:p w:rsidR="002C75E8" w:rsidRDefault="002466A1">
      <w:pPr>
        <w:spacing w:after="0" w:line="259" w:lineRule="auto"/>
        <w:ind w:left="708" w:firstLine="0"/>
        <w:jc w:val="left"/>
      </w:pPr>
      <w:r>
        <w:t xml:space="preserve">  </w:t>
      </w:r>
    </w:p>
    <w:p w:rsidR="002C75E8" w:rsidRDefault="002466A1">
      <w:pPr>
        <w:spacing w:after="133" w:line="259" w:lineRule="auto"/>
        <w:ind w:left="10" w:right="-4" w:hanging="10"/>
        <w:jc w:val="right"/>
      </w:pPr>
      <w:r>
        <w:t xml:space="preserve">Д.С. </w:t>
      </w:r>
      <w:proofErr w:type="spellStart"/>
      <w:r>
        <w:t>Вахруков</w:t>
      </w:r>
      <w:proofErr w:type="spellEnd"/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3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3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2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3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131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24" w:line="259" w:lineRule="auto"/>
        <w:ind w:left="0" w:firstLine="0"/>
        <w:jc w:val="left"/>
      </w:pPr>
      <w:r>
        <w:t xml:space="preserve"> </w:t>
      </w:r>
    </w:p>
    <w:p w:rsidR="002C75E8" w:rsidRDefault="002466A1">
      <w:pPr>
        <w:spacing w:after="3" w:line="259" w:lineRule="auto"/>
        <w:ind w:left="-5" w:hanging="10"/>
        <w:jc w:val="left"/>
      </w:pPr>
      <w:r>
        <w:rPr>
          <w:sz w:val="16"/>
        </w:rPr>
        <w:lastRenderedPageBreak/>
        <w:t>Е.Э. Какура</w:t>
      </w:r>
      <w:r>
        <w:rPr>
          <w:color w:val="C00000"/>
          <w:sz w:val="16"/>
        </w:rPr>
        <w:t xml:space="preserve"> </w:t>
      </w:r>
      <w:r>
        <w:rPr>
          <w:sz w:val="16"/>
        </w:rPr>
        <w:t xml:space="preserve"> </w:t>
      </w:r>
    </w:p>
    <w:p w:rsidR="002C75E8" w:rsidRDefault="002466A1">
      <w:pPr>
        <w:spacing w:after="3" w:line="259" w:lineRule="auto"/>
        <w:ind w:left="-5" w:hanging="10"/>
        <w:jc w:val="left"/>
      </w:pPr>
      <w:r>
        <w:rPr>
          <w:sz w:val="16"/>
        </w:rPr>
        <w:t xml:space="preserve">8(495)870-29-21 (18894) </w:t>
      </w:r>
    </w:p>
    <w:p w:rsidR="002C75E8" w:rsidRDefault="002466A1">
      <w:pPr>
        <w:spacing w:after="3" w:line="259" w:lineRule="auto"/>
        <w:ind w:left="-5" w:hanging="10"/>
        <w:jc w:val="left"/>
      </w:pPr>
      <w:r>
        <w:rPr>
          <w:sz w:val="16"/>
        </w:rPr>
        <w:t xml:space="preserve">Департамент региональной политики </w:t>
      </w:r>
    </w:p>
    <w:sectPr w:rsidR="002C75E8">
      <w:headerReference w:type="even" r:id="rId9"/>
      <w:headerReference w:type="default" r:id="rId10"/>
      <w:headerReference w:type="first" r:id="rId11"/>
      <w:pgSz w:w="11906" w:h="16841"/>
      <w:pgMar w:top="772" w:right="561" w:bottom="117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CF" w:rsidRDefault="006343CF">
      <w:pPr>
        <w:spacing w:after="0" w:line="240" w:lineRule="auto"/>
      </w:pPr>
      <w:r>
        <w:separator/>
      </w:r>
    </w:p>
  </w:endnote>
  <w:endnote w:type="continuationSeparator" w:id="0">
    <w:p w:rsidR="006343CF" w:rsidRDefault="006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CF" w:rsidRDefault="006343CF">
      <w:pPr>
        <w:spacing w:after="0" w:line="240" w:lineRule="auto"/>
      </w:pPr>
      <w:r>
        <w:separator/>
      </w:r>
    </w:p>
  </w:footnote>
  <w:footnote w:type="continuationSeparator" w:id="0">
    <w:p w:rsidR="006343CF" w:rsidRDefault="006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E8" w:rsidRDefault="002466A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75E8" w:rsidRDefault="002466A1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E8" w:rsidRDefault="002466A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05A" w:rsidRPr="00CA605A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75E8" w:rsidRDefault="002466A1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E8" w:rsidRDefault="002C75E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4B18"/>
    <w:multiLevelType w:val="hybridMultilevel"/>
    <w:tmpl w:val="2974C854"/>
    <w:lvl w:ilvl="0" w:tplc="B58C50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369A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A13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A16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622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2B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E622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1AC4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E3A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E8"/>
    <w:rsid w:val="00135EB1"/>
    <w:rsid w:val="002466A1"/>
    <w:rsid w:val="002C75E8"/>
    <w:rsid w:val="003F65B5"/>
    <w:rsid w:val="004B6DE1"/>
    <w:rsid w:val="004C5FA4"/>
    <w:rsid w:val="00564196"/>
    <w:rsid w:val="006343CF"/>
    <w:rsid w:val="00BE1BA6"/>
    <w:rsid w:val="00C64EE5"/>
    <w:rsid w:val="00CA605A"/>
    <w:rsid w:val="00F71428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09" w:lineRule="auto"/>
      <w:ind w:left="1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5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09" w:lineRule="auto"/>
      <w:ind w:left="1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5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Какура Елена Эдуардовна</dc:creator>
  <cp:lastModifiedBy>OfficeUser</cp:lastModifiedBy>
  <cp:revision>2</cp:revision>
  <dcterms:created xsi:type="dcterms:W3CDTF">2022-08-16T11:10:00Z</dcterms:created>
  <dcterms:modified xsi:type="dcterms:W3CDTF">2022-08-16T11:10:00Z</dcterms:modified>
</cp:coreProperties>
</file>